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C8DE7F" w14:textId="0E706C43" w:rsidR="00C23467" w:rsidRDefault="00C23467" w:rsidP="00C23467">
      <w:pPr>
        <w:rPr>
          <w:b/>
          <w:bCs/>
        </w:rPr>
      </w:pPr>
      <w:r w:rsidRPr="00C23467">
        <w:rPr>
          <w:b/>
          <w:bCs/>
        </w:rPr>
        <w:t xml:space="preserve">Updated: </w:t>
      </w:r>
      <w:r>
        <w:rPr>
          <w:b/>
          <w:bCs/>
        </w:rPr>
        <w:t>18</w:t>
      </w:r>
      <w:r w:rsidRPr="00C23467">
        <w:rPr>
          <w:b/>
          <w:bCs/>
          <w:vertAlign w:val="superscript"/>
        </w:rPr>
        <w:t>th</w:t>
      </w:r>
      <w:r>
        <w:rPr>
          <w:b/>
          <w:bCs/>
        </w:rPr>
        <w:t xml:space="preserve"> June 2025</w:t>
      </w:r>
    </w:p>
    <w:p w14:paraId="3EE5BA38" w14:textId="02236BE2" w:rsidR="00C43A3E" w:rsidRDefault="00C43A3E" w:rsidP="00C23467">
      <w:pPr>
        <w:rPr>
          <w:b/>
          <w:bCs/>
        </w:rPr>
      </w:pPr>
      <w:bookmarkStart w:id="0" w:name="_Hlk201148662"/>
      <w:r w:rsidRPr="00C43A3E">
        <w:rPr>
          <w:b/>
          <w:bCs/>
        </w:rPr>
        <w:t>This document provides guidance for community groups and organisations applying for Ashington Town Council's 2025–26 Annual Grant Aid. It sets out the purpose of the fund, eligibility criteria, application process, and expectations for use and reporting of grant funding</w:t>
      </w:r>
      <w:r>
        <w:rPr>
          <w:b/>
          <w:bCs/>
        </w:rPr>
        <w:t>.</w:t>
      </w:r>
    </w:p>
    <w:bookmarkEnd w:id="0"/>
    <w:p w14:paraId="04E90743" w14:textId="0AFCB659" w:rsidR="00556E50" w:rsidRPr="00556E50" w:rsidRDefault="00556E50" w:rsidP="00A85DA1">
      <w:pPr>
        <w:pStyle w:val="Heading1"/>
      </w:pPr>
      <w:r w:rsidRPr="00556E50">
        <w:t>Introduction and Aims</w:t>
      </w:r>
    </w:p>
    <w:p w14:paraId="7AC844C4" w14:textId="77777777" w:rsidR="00556E50" w:rsidRPr="00556E50" w:rsidRDefault="00556E50" w:rsidP="00556E50">
      <w:r w:rsidRPr="00556E50">
        <w:t>Ashington Town Council aims to promote and protect the quality of life and well-being of those who live in, work in, or visit the local area. To this end, the Council offers grants to local organisations based in Ashington to help them maintain and develop their services, facilities, and activities.</w:t>
      </w:r>
    </w:p>
    <w:p w14:paraId="70031294" w14:textId="77777777" w:rsidR="00556E50" w:rsidRPr="00556E50" w:rsidRDefault="00556E50" w:rsidP="00556E50">
      <w:r w:rsidRPr="00556E50">
        <w:t>The Council is committed to supporting local community groups, sports clubs, and charitable organisations that provide direct benefit to Ashington residents.</w:t>
      </w:r>
    </w:p>
    <w:p w14:paraId="40ECAFE0" w14:textId="44CB7D61" w:rsidR="00556E50" w:rsidRPr="00556E50" w:rsidRDefault="00556E50" w:rsidP="00A85DA1">
      <w:pPr>
        <w:pStyle w:val="Heading1"/>
      </w:pPr>
      <w:r w:rsidRPr="00556E50">
        <w:t>Available Funding</w:t>
      </w:r>
    </w:p>
    <w:p w14:paraId="532404CF" w14:textId="7AFBFB00" w:rsidR="00556E50" w:rsidRPr="00556E50" w:rsidRDefault="00556E50" w:rsidP="00556E50">
      <w:pPr>
        <w:numPr>
          <w:ilvl w:val="0"/>
          <w:numId w:val="8"/>
        </w:numPr>
      </w:pPr>
      <w:r w:rsidRPr="00556E50">
        <w:rPr>
          <w:b/>
          <w:bCs/>
        </w:rPr>
        <w:t>Total Annual Fund</w:t>
      </w:r>
      <w:r w:rsidRPr="00556E50">
        <w:t>: £</w:t>
      </w:r>
      <w:r>
        <w:t>56,</w:t>
      </w:r>
      <w:r w:rsidRPr="00556E50">
        <w:t xml:space="preserve">000 for financial year </w:t>
      </w:r>
      <w:r>
        <w:t>2025/26</w:t>
      </w:r>
    </w:p>
    <w:p w14:paraId="27D94A46" w14:textId="5FBFA608" w:rsidR="00556E50" w:rsidRPr="00556E50" w:rsidRDefault="00556E50" w:rsidP="00556E50">
      <w:pPr>
        <w:numPr>
          <w:ilvl w:val="0"/>
          <w:numId w:val="8"/>
        </w:numPr>
      </w:pPr>
      <w:r w:rsidRPr="00556E50">
        <w:rPr>
          <w:b/>
          <w:bCs/>
        </w:rPr>
        <w:t xml:space="preserve">Maximum </w:t>
      </w:r>
      <w:r w:rsidR="00C43A3E">
        <w:rPr>
          <w:b/>
          <w:bCs/>
        </w:rPr>
        <w:t>Grant per Application</w:t>
      </w:r>
      <w:r w:rsidRPr="00556E50">
        <w:t>: £5,000</w:t>
      </w:r>
    </w:p>
    <w:p w14:paraId="5603276F" w14:textId="77777777" w:rsidR="00556E50" w:rsidRPr="00556E50" w:rsidRDefault="00556E50" w:rsidP="00556E50">
      <w:pPr>
        <w:numPr>
          <w:ilvl w:val="0"/>
          <w:numId w:val="8"/>
        </w:numPr>
      </w:pPr>
      <w:r w:rsidRPr="00556E50">
        <w:rPr>
          <w:b/>
          <w:bCs/>
        </w:rPr>
        <w:t>Funding Rounds</w:t>
      </w:r>
      <w:r w:rsidRPr="00556E50">
        <w:t>: One annual round</w:t>
      </w:r>
    </w:p>
    <w:p w14:paraId="520CBC84" w14:textId="343F45A9" w:rsidR="00556E50" w:rsidRPr="00556E50" w:rsidRDefault="00556E50" w:rsidP="00556E50">
      <w:pPr>
        <w:numPr>
          <w:ilvl w:val="0"/>
          <w:numId w:val="8"/>
        </w:numPr>
      </w:pPr>
      <w:r w:rsidRPr="00556E50">
        <w:rPr>
          <w:b/>
          <w:bCs/>
        </w:rPr>
        <w:t>Application Deadline</w:t>
      </w:r>
      <w:r w:rsidRPr="00556E50">
        <w:t xml:space="preserve">: Friday </w:t>
      </w:r>
      <w:r>
        <w:t>2</w:t>
      </w:r>
      <w:r w:rsidRPr="00556E50">
        <w:rPr>
          <w:vertAlign w:val="superscript"/>
        </w:rPr>
        <w:t>nd</w:t>
      </w:r>
      <w:r>
        <w:t xml:space="preserve"> August 2025</w:t>
      </w:r>
    </w:p>
    <w:p w14:paraId="4DA90312" w14:textId="49CE43F4" w:rsidR="00556E50" w:rsidRDefault="00556E50" w:rsidP="00556E50">
      <w:pPr>
        <w:numPr>
          <w:ilvl w:val="0"/>
          <w:numId w:val="8"/>
        </w:numPr>
      </w:pPr>
      <w:r w:rsidRPr="00556E50">
        <w:rPr>
          <w:b/>
          <w:bCs/>
        </w:rPr>
        <w:t>Decision Date</w:t>
      </w:r>
      <w:r w:rsidRPr="00556E50">
        <w:t xml:space="preserve">: Tuesday </w:t>
      </w:r>
      <w:r>
        <w:t>9</w:t>
      </w:r>
      <w:r w:rsidRPr="00556E50">
        <w:rPr>
          <w:vertAlign w:val="superscript"/>
        </w:rPr>
        <w:t>th</w:t>
      </w:r>
      <w:r>
        <w:t xml:space="preserve"> September</w:t>
      </w:r>
      <w:r w:rsidRPr="00556E50">
        <w:t xml:space="preserve"> </w:t>
      </w:r>
      <w:r>
        <w:t>2025</w:t>
      </w:r>
    </w:p>
    <w:p w14:paraId="0E51B22D" w14:textId="4D36B964" w:rsidR="00C43A3E" w:rsidRPr="00556E50" w:rsidRDefault="00C43A3E" w:rsidP="00C43A3E">
      <w:r>
        <w:t>Please note that the Council operates a separate Small Grant Policy for Grants of £500 or less.</w:t>
      </w:r>
    </w:p>
    <w:p w14:paraId="67E7B1B0" w14:textId="69A04B72" w:rsidR="00556E50" w:rsidRPr="00556E50" w:rsidRDefault="00556E50" w:rsidP="00A85DA1">
      <w:pPr>
        <w:pStyle w:val="Heading1"/>
      </w:pPr>
      <w:r w:rsidRPr="00556E50">
        <w:t>Eligibility Criteria</w:t>
      </w:r>
    </w:p>
    <w:p w14:paraId="3E989936" w14:textId="08A22132" w:rsidR="00556E50" w:rsidRPr="00556E50" w:rsidRDefault="00556E50" w:rsidP="00D248ED">
      <w:pPr>
        <w:pStyle w:val="Heading2"/>
      </w:pPr>
      <w:r w:rsidRPr="00556E50">
        <w:t>Who Can Apply</w:t>
      </w:r>
    </w:p>
    <w:p w14:paraId="7F3A7226" w14:textId="77777777" w:rsidR="00556E50" w:rsidRPr="00556E50" w:rsidRDefault="00556E50" w:rsidP="00556E50">
      <w:pPr>
        <w:numPr>
          <w:ilvl w:val="0"/>
          <w:numId w:val="9"/>
        </w:numPr>
      </w:pPr>
      <w:r w:rsidRPr="00556E50">
        <w:t>Voluntary, non-profit making organisations</w:t>
      </w:r>
    </w:p>
    <w:p w14:paraId="003A0B3A" w14:textId="77777777" w:rsidR="00556E50" w:rsidRPr="00556E50" w:rsidRDefault="00556E50" w:rsidP="00556E50">
      <w:pPr>
        <w:numPr>
          <w:ilvl w:val="0"/>
          <w:numId w:val="9"/>
        </w:numPr>
      </w:pPr>
      <w:r w:rsidRPr="00556E50">
        <w:rPr>
          <w:b/>
          <w:bCs/>
        </w:rPr>
        <w:t>Must be based in Ashington</w:t>
      </w:r>
      <w:r w:rsidRPr="00556E50">
        <w:t xml:space="preserve"> (applications from outside Ashington will not be considered)</w:t>
      </w:r>
    </w:p>
    <w:p w14:paraId="4DCD6771" w14:textId="77777777" w:rsidR="00556E50" w:rsidRPr="00556E50" w:rsidRDefault="00556E50" w:rsidP="00556E50">
      <w:pPr>
        <w:numPr>
          <w:ilvl w:val="0"/>
          <w:numId w:val="9"/>
        </w:numPr>
      </w:pPr>
      <w:r w:rsidRPr="00556E50">
        <w:t>Organisations providing facilities, activities, and services principally for Ashington residents</w:t>
      </w:r>
    </w:p>
    <w:p w14:paraId="5C063CCE" w14:textId="77777777" w:rsidR="00556E50" w:rsidRPr="00556E50" w:rsidRDefault="00556E50" w:rsidP="00556E50">
      <w:pPr>
        <w:numPr>
          <w:ilvl w:val="0"/>
          <w:numId w:val="9"/>
        </w:numPr>
      </w:pPr>
      <w:r w:rsidRPr="00556E50">
        <w:t>Examples include: sports clubs, community associations, youth organisations, arts groups, charitable trusts, organisations supporting disadvantaged/vulnerable groups</w:t>
      </w:r>
    </w:p>
    <w:p w14:paraId="7657A27E" w14:textId="1B14ADF9" w:rsidR="00556E50" w:rsidRPr="00556E50" w:rsidRDefault="00D248ED" w:rsidP="00D248ED">
      <w:pPr>
        <w:pStyle w:val="Heading2"/>
      </w:pPr>
      <w:r>
        <w:t xml:space="preserve">3.1 </w:t>
      </w:r>
      <w:r w:rsidR="00556E50" w:rsidRPr="00556E50">
        <w:t>Required Documentation</w:t>
      </w:r>
    </w:p>
    <w:p w14:paraId="1B01BF0D" w14:textId="77777777" w:rsidR="00556E50" w:rsidRPr="00556E50" w:rsidRDefault="00556E50" w:rsidP="00556E50">
      <w:r w:rsidRPr="00556E50">
        <w:t>All applicants must provide:</w:t>
      </w:r>
    </w:p>
    <w:p w14:paraId="2D0B1231" w14:textId="77777777" w:rsidR="00556E50" w:rsidRPr="00556E50" w:rsidRDefault="00556E50" w:rsidP="00556E50">
      <w:pPr>
        <w:numPr>
          <w:ilvl w:val="0"/>
          <w:numId w:val="10"/>
        </w:numPr>
      </w:pPr>
      <w:r w:rsidRPr="00556E50">
        <w:t>Constitution or governing document with written aims and objectives</w:t>
      </w:r>
    </w:p>
    <w:p w14:paraId="1CC5ABAF" w14:textId="77777777" w:rsidR="00556E50" w:rsidRPr="00556E50" w:rsidRDefault="00556E50" w:rsidP="00556E50">
      <w:pPr>
        <w:numPr>
          <w:ilvl w:val="0"/>
          <w:numId w:val="10"/>
        </w:numPr>
      </w:pPr>
      <w:r w:rsidRPr="00556E50">
        <w:lastRenderedPageBreak/>
        <w:t>Latest audited accounts or independently examined accounts</w:t>
      </w:r>
    </w:p>
    <w:p w14:paraId="66580FCB" w14:textId="77777777" w:rsidR="00556E50" w:rsidRPr="00556E50" w:rsidRDefault="00556E50" w:rsidP="00556E50">
      <w:pPr>
        <w:numPr>
          <w:ilvl w:val="0"/>
          <w:numId w:val="10"/>
        </w:numPr>
      </w:pPr>
      <w:r w:rsidRPr="00556E50">
        <w:t>Most recent bank statement</w:t>
      </w:r>
    </w:p>
    <w:p w14:paraId="5B62D9ED" w14:textId="77777777" w:rsidR="00556E50" w:rsidRPr="00556E50" w:rsidRDefault="00556E50" w:rsidP="00556E50">
      <w:pPr>
        <w:numPr>
          <w:ilvl w:val="0"/>
          <w:numId w:val="10"/>
        </w:numPr>
      </w:pPr>
      <w:r w:rsidRPr="00556E50">
        <w:t xml:space="preserve">Evidence of the following policies: </w:t>
      </w:r>
    </w:p>
    <w:p w14:paraId="7A4F4A9C" w14:textId="77777777" w:rsidR="00556E50" w:rsidRPr="00556E50" w:rsidRDefault="00556E50" w:rsidP="00556E50">
      <w:pPr>
        <w:numPr>
          <w:ilvl w:val="1"/>
          <w:numId w:val="10"/>
        </w:numPr>
      </w:pPr>
      <w:r w:rsidRPr="00556E50">
        <w:t>Health &amp; Safety</w:t>
      </w:r>
    </w:p>
    <w:p w14:paraId="4EEE49FE" w14:textId="77777777" w:rsidR="00556E50" w:rsidRPr="00556E50" w:rsidRDefault="00556E50" w:rsidP="00556E50">
      <w:pPr>
        <w:numPr>
          <w:ilvl w:val="1"/>
          <w:numId w:val="10"/>
        </w:numPr>
      </w:pPr>
      <w:r w:rsidRPr="00556E50">
        <w:t>Equality and Diversity</w:t>
      </w:r>
    </w:p>
    <w:p w14:paraId="269970EA" w14:textId="77777777" w:rsidR="00556E50" w:rsidRPr="00556E50" w:rsidRDefault="00556E50" w:rsidP="00556E50">
      <w:pPr>
        <w:numPr>
          <w:ilvl w:val="1"/>
          <w:numId w:val="10"/>
        </w:numPr>
      </w:pPr>
      <w:r w:rsidRPr="00556E50">
        <w:t>Safeguarding</w:t>
      </w:r>
    </w:p>
    <w:p w14:paraId="678D7A1A" w14:textId="77777777" w:rsidR="00556E50" w:rsidRPr="00556E50" w:rsidRDefault="00556E50" w:rsidP="00556E50">
      <w:pPr>
        <w:numPr>
          <w:ilvl w:val="1"/>
          <w:numId w:val="10"/>
        </w:numPr>
      </w:pPr>
      <w:r w:rsidRPr="00556E50">
        <w:t>Data Protection and GDPR</w:t>
      </w:r>
    </w:p>
    <w:p w14:paraId="39922105" w14:textId="77777777" w:rsidR="00556E50" w:rsidRPr="00556E50" w:rsidRDefault="00556E50" w:rsidP="00556E50">
      <w:pPr>
        <w:numPr>
          <w:ilvl w:val="1"/>
          <w:numId w:val="10"/>
        </w:numPr>
      </w:pPr>
      <w:r w:rsidRPr="00556E50">
        <w:t>Risk Management</w:t>
      </w:r>
    </w:p>
    <w:p w14:paraId="36099409" w14:textId="77777777" w:rsidR="00556E50" w:rsidRPr="00556E50" w:rsidRDefault="00556E50" w:rsidP="00556E50">
      <w:pPr>
        <w:numPr>
          <w:ilvl w:val="1"/>
          <w:numId w:val="10"/>
        </w:numPr>
      </w:pPr>
      <w:r w:rsidRPr="00556E50">
        <w:t>Complaints Procedure</w:t>
      </w:r>
    </w:p>
    <w:p w14:paraId="2880E13B" w14:textId="77777777" w:rsidR="00556E50" w:rsidRPr="00556E50" w:rsidRDefault="00556E50" w:rsidP="00556E50">
      <w:pPr>
        <w:numPr>
          <w:ilvl w:val="0"/>
          <w:numId w:val="10"/>
        </w:numPr>
      </w:pPr>
      <w:r w:rsidRPr="00556E50">
        <w:t>Dedicated bank account in the organisation's name</w:t>
      </w:r>
    </w:p>
    <w:p w14:paraId="734D649B" w14:textId="03E68F5D" w:rsidR="00556E50" w:rsidRPr="00556E50" w:rsidRDefault="00556E50" w:rsidP="00556E50">
      <w:r w:rsidRPr="00556E50">
        <w:rPr>
          <w:i/>
          <w:iCs/>
        </w:rPr>
        <w:t>The Council will s</w:t>
      </w:r>
      <w:r w:rsidR="00E057CF">
        <w:rPr>
          <w:i/>
          <w:iCs/>
        </w:rPr>
        <w:t>ignpost</w:t>
      </w:r>
      <w:r w:rsidRPr="00556E50">
        <w:rPr>
          <w:i/>
          <w:iCs/>
        </w:rPr>
        <w:t xml:space="preserve"> groups </w:t>
      </w:r>
      <w:r w:rsidR="00E057CF">
        <w:rPr>
          <w:i/>
          <w:iCs/>
        </w:rPr>
        <w:t xml:space="preserve">who need </w:t>
      </w:r>
      <w:r w:rsidRPr="00556E50">
        <w:rPr>
          <w:i/>
          <w:iCs/>
        </w:rPr>
        <w:t>to develop</w:t>
      </w:r>
      <w:r w:rsidR="00E057CF">
        <w:rPr>
          <w:i/>
          <w:iCs/>
        </w:rPr>
        <w:t xml:space="preserve"> the</w:t>
      </w:r>
      <w:r w:rsidRPr="00556E50">
        <w:rPr>
          <w:i/>
          <w:iCs/>
        </w:rPr>
        <w:t xml:space="preserve"> required policies.</w:t>
      </w:r>
    </w:p>
    <w:p w14:paraId="7B1975C8" w14:textId="3129BA28" w:rsidR="00556E50" w:rsidRPr="00556E50" w:rsidRDefault="00D248ED" w:rsidP="00D248ED">
      <w:pPr>
        <w:pStyle w:val="Heading2"/>
      </w:pPr>
      <w:r>
        <w:t xml:space="preserve">3.2 </w:t>
      </w:r>
      <w:r w:rsidR="00556E50" w:rsidRPr="00556E50">
        <w:t>Financial Reserves Policy</w:t>
      </w:r>
    </w:p>
    <w:p w14:paraId="72E67958" w14:textId="3CC9F8DF" w:rsidR="009A3447" w:rsidRPr="009A3447" w:rsidRDefault="009A3447" w:rsidP="009A3447">
      <w:r w:rsidRPr="009A3447">
        <w:t xml:space="preserve">The Council will not normally fund organisations holding more than </w:t>
      </w:r>
      <w:r>
        <w:t>30</w:t>
      </w:r>
      <w:r w:rsidRPr="009A3447">
        <w:t>% of their average annual running costs in unrestricted general reserves. Organisations with reserves between 20-30% must provide detailed justification for these levels.</w:t>
      </w:r>
    </w:p>
    <w:p w14:paraId="0ECA166A" w14:textId="77777777" w:rsidR="009A3447" w:rsidRPr="009A3447" w:rsidRDefault="009A3447" w:rsidP="009A3447">
      <w:r w:rsidRPr="009A3447">
        <w:t>All applicants must provide:</w:t>
      </w:r>
    </w:p>
    <w:p w14:paraId="79CA9448" w14:textId="77777777" w:rsidR="009A3447" w:rsidRPr="009A3447" w:rsidRDefault="009A3447" w:rsidP="009A3447">
      <w:pPr>
        <w:pStyle w:val="ListParagraph"/>
        <w:numPr>
          <w:ilvl w:val="0"/>
          <w:numId w:val="30"/>
        </w:numPr>
      </w:pPr>
      <w:r w:rsidRPr="009A3447">
        <w:t>A breakdown of all reserves by type and restriction status</w:t>
      </w:r>
    </w:p>
    <w:p w14:paraId="6BA77BB3" w14:textId="77777777" w:rsidR="009A3447" w:rsidRPr="009A3447" w:rsidRDefault="009A3447" w:rsidP="009A3447">
      <w:pPr>
        <w:pStyle w:val="ListParagraph"/>
        <w:numPr>
          <w:ilvl w:val="0"/>
          <w:numId w:val="30"/>
        </w:numPr>
      </w:pPr>
      <w:r w:rsidRPr="009A3447">
        <w:t>Explanation of the organisation's reserve policy and specific purposes for reserves held</w:t>
      </w:r>
    </w:p>
    <w:p w14:paraId="13417173" w14:textId="77777777" w:rsidR="009A3447" w:rsidRPr="009A3447" w:rsidRDefault="009A3447" w:rsidP="009A3447">
      <w:pPr>
        <w:pStyle w:val="ListParagraph"/>
        <w:numPr>
          <w:ilvl w:val="0"/>
          <w:numId w:val="30"/>
        </w:numPr>
      </w:pPr>
      <w:r w:rsidRPr="009A3447">
        <w:t>Calculation showing reserves as a percentage of average annual running costs over the previous two years</w:t>
      </w:r>
    </w:p>
    <w:p w14:paraId="50AA0026" w14:textId="77777777" w:rsidR="009A3447" w:rsidRPr="009A3447" w:rsidRDefault="009A3447" w:rsidP="009A3447">
      <w:pPr>
        <w:pStyle w:val="ListParagraph"/>
        <w:numPr>
          <w:ilvl w:val="0"/>
          <w:numId w:val="30"/>
        </w:numPr>
      </w:pPr>
      <w:r w:rsidRPr="009A3447">
        <w:t>Demonstration that the requested grant cannot be funded from existing reserves</w:t>
      </w:r>
    </w:p>
    <w:p w14:paraId="24D49490" w14:textId="77777777" w:rsidR="009A3447" w:rsidRPr="009A3447" w:rsidRDefault="009A3447" w:rsidP="009A3447">
      <w:pPr>
        <w:pStyle w:val="ListParagraph"/>
        <w:numPr>
          <w:ilvl w:val="0"/>
          <w:numId w:val="30"/>
        </w:numPr>
      </w:pPr>
      <w:r w:rsidRPr="009A3447">
        <w:t>Evidence of consideration given to using reserves appropriately before seeking grant funding</w:t>
      </w:r>
    </w:p>
    <w:p w14:paraId="0A541B3A" w14:textId="77777777" w:rsidR="009A3447" w:rsidRPr="009A3447" w:rsidRDefault="009A3447" w:rsidP="009A3447">
      <w:r w:rsidRPr="009A3447">
        <w:t>Exceptional circumstances may be considered where higher reserves are justified by:</w:t>
      </w:r>
    </w:p>
    <w:p w14:paraId="57A53B6A" w14:textId="77777777" w:rsidR="009A3447" w:rsidRPr="009A3447" w:rsidRDefault="009A3447" w:rsidP="009A3447">
      <w:pPr>
        <w:pStyle w:val="ListParagraph"/>
        <w:numPr>
          <w:ilvl w:val="0"/>
          <w:numId w:val="31"/>
        </w:numPr>
      </w:pPr>
      <w:r w:rsidRPr="009A3447">
        <w:t>Regulatory or legal requirements for specific reserve levels</w:t>
      </w:r>
    </w:p>
    <w:p w14:paraId="78E525F3" w14:textId="77777777" w:rsidR="009A3447" w:rsidRPr="009A3447" w:rsidRDefault="009A3447" w:rsidP="009A3447">
      <w:pPr>
        <w:pStyle w:val="ListParagraph"/>
        <w:numPr>
          <w:ilvl w:val="0"/>
          <w:numId w:val="31"/>
        </w:numPr>
      </w:pPr>
      <w:r w:rsidRPr="009A3447">
        <w:t>Major capital equipment replacement cycles requiring planned savings</w:t>
      </w:r>
    </w:p>
    <w:p w14:paraId="09EDD052" w14:textId="77777777" w:rsidR="009A3447" w:rsidRPr="009A3447" w:rsidRDefault="009A3447" w:rsidP="009A3447">
      <w:pPr>
        <w:pStyle w:val="ListParagraph"/>
        <w:numPr>
          <w:ilvl w:val="0"/>
          <w:numId w:val="31"/>
        </w:numPr>
      </w:pPr>
      <w:r w:rsidRPr="009A3447">
        <w:t>Seasonal funding patterns necessitating cash flow management</w:t>
      </w:r>
    </w:p>
    <w:p w14:paraId="035D82C7" w14:textId="77777777" w:rsidR="009A3447" w:rsidRPr="009A3447" w:rsidRDefault="009A3447" w:rsidP="009A3447">
      <w:pPr>
        <w:pStyle w:val="ListParagraph"/>
        <w:numPr>
          <w:ilvl w:val="0"/>
          <w:numId w:val="31"/>
        </w:numPr>
      </w:pPr>
      <w:r w:rsidRPr="009A3447">
        <w:t>Insurance or lease requirements for advance payments</w:t>
      </w:r>
    </w:p>
    <w:p w14:paraId="356ECD7B" w14:textId="35028CE0" w:rsidR="009A3447" w:rsidRPr="009A3447" w:rsidRDefault="009A3447" w:rsidP="009A3447">
      <w:r w:rsidRPr="009A3447">
        <w:t>Where reserves are not adequately explained or justified, the Council will assume that the applicant has sufficient funds to cover the expenditure from their own resources and that Town Council support is not necessary.</w:t>
      </w:r>
      <w:r w:rsidR="00C43A3E" w:rsidRPr="00C43A3E">
        <w:t xml:space="preserve"> </w:t>
      </w:r>
      <w:r w:rsidR="00C43A3E" w:rsidRPr="00C43A3E">
        <w:t>The Council reserves the right to request further explanation of financial information, and applicants should be prepared to submit forecasts or cash flow projections if requeste</w:t>
      </w:r>
      <w:r w:rsidR="00C43A3E">
        <w:t>d.</w:t>
      </w:r>
    </w:p>
    <w:p w14:paraId="0975AA38" w14:textId="0382989D" w:rsidR="00556E50" w:rsidRPr="00556E50" w:rsidRDefault="00556E50" w:rsidP="00A85DA1">
      <w:pPr>
        <w:pStyle w:val="Heading1"/>
      </w:pPr>
      <w:r w:rsidRPr="00556E50">
        <w:lastRenderedPageBreak/>
        <w:t>What Will NOT Be Funded</w:t>
      </w:r>
    </w:p>
    <w:p w14:paraId="020FCFA2" w14:textId="77777777" w:rsidR="00556E50" w:rsidRPr="00556E50" w:rsidRDefault="00556E50" w:rsidP="00556E50">
      <w:pPr>
        <w:numPr>
          <w:ilvl w:val="0"/>
          <w:numId w:val="12"/>
        </w:numPr>
      </w:pPr>
      <w:bookmarkStart w:id="1" w:name="_Hlk201151099"/>
      <w:r w:rsidRPr="00556E50">
        <w:t>Individuals or commercial businesses</w:t>
      </w:r>
    </w:p>
    <w:p w14:paraId="339D308D" w14:textId="77777777" w:rsidR="00556E50" w:rsidRPr="00556E50" w:rsidRDefault="00556E50" w:rsidP="00556E50">
      <w:pPr>
        <w:numPr>
          <w:ilvl w:val="0"/>
          <w:numId w:val="12"/>
        </w:numPr>
      </w:pPr>
      <w:r w:rsidRPr="00556E50">
        <w:t>Organisations based outside Ashington</w:t>
      </w:r>
    </w:p>
    <w:p w14:paraId="305C5BA1" w14:textId="098ED141" w:rsidR="00556E50" w:rsidRPr="00556E50" w:rsidRDefault="00556E50" w:rsidP="00556E50">
      <w:pPr>
        <w:numPr>
          <w:ilvl w:val="0"/>
          <w:numId w:val="12"/>
        </w:numPr>
      </w:pPr>
      <w:r w:rsidRPr="00556E50">
        <w:t xml:space="preserve">National charities </w:t>
      </w:r>
    </w:p>
    <w:p w14:paraId="62340820" w14:textId="77777777" w:rsidR="00556E50" w:rsidRPr="00556E50" w:rsidRDefault="00556E50" w:rsidP="00556E50">
      <w:pPr>
        <w:numPr>
          <w:ilvl w:val="0"/>
          <w:numId w:val="12"/>
        </w:numPr>
      </w:pPr>
      <w:r w:rsidRPr="00556E50">
        <w:t>Schools (though PTAs may apply for non-core items)</w:t>
      </w:r>
    </w:p>
    <w:p w14:paraId="756CA48A" w14:textId="46B69CE5" w:rsidR="00EE4B3C" w:rsidRDefault="00EE4B3C" w:rsidP="00EE4B3C">
      <w:pPr>
        <w:numPr>
          <w:ilvl w:val="0"/>
          <w:numId w:val="12"/>
        </w:numPr>
      </w:pPr>
      <w:r>
        <w:t>R</w:t>
      </w:r>
      <w:r w:rsidRPr="00EE4B3C">
        <w:t>eligious organisations where the funded activity is primarily promoting religious beliefs. However, faith-based groups may apply for funding for community activities that are inclusive and non-religious in nature</w:t>
      </w:r>
    </w:p>
    <w:p w14:paraId="63E904E5" w14:textId="7D4DBD35" w:rsidR="00EE4B3C" w:rsidRDefault="00EE4B3C" w:rsidP="00556E50">
      <w:pPr>
        <w:numPr>
          <w:ilvl w:val="0"/>
          <w:numId w:val="12"/>
        </w:numPr>
      </w:pPr>
      <w:r>
        <w:t xml:space="preserve">Political </w:t>
      </w:r>
      <w:r w:rsidR="00D34047">
        <w:t>Organisations</w:t>
      </w:r>
    </w:p>
    <w:p w14:paraId="10D84594" w14:textId="584B82E2" w:rsidR="00556E50" w:rsidRPr="00556E50" w:rsidRDefault="00556E50" w:rsidP="00556E50">
      <w:pPr>
        <w:numPr>
          <w:ilvl w:val="0"/>
          <w:numId w:val="12"/>
        </w:numPr>
      </w:pPr>
      <w:r w:rsidRPr="00556E50">
        <w:t>Projects that are the statutory responsibility of other public bodies</w:t>
      </w:r>
    </w:p>
    <w:p w14:paraId="53F206FF" w14:textId="77777777" w:rsidR="00556E50" w:rsidRPr="00556E50" w:rsidRDefault="00556E50" w:rsidP="00556E50">
      <w:pPr>
        <w:numPr>
          <w:ilvl w:val="0"/>
          <w:numId w:val="12"/>
        </w:numPr>
      </w:pPr>
      <w:r w:rsidRPr="00556E50">
        <w:t>Retrospective projects or costs already incurred</w:t>
      </w:r>
    </w:p>
    <w:p w14:paraId="07034DE1" w14:textId="77777777" w:rsidR="00556E50" w:rsidRPr="00556E50" w:rsidRDefault="00556E50" w:rsidP="00556E50">
      <w:pPr>
        <w:numPr>
          <w:ilvl w:val="0"/>
          <w:numId w:val="12"/>
        </w:numPr>
      </w:pPr>
      <w:r w:rsidRPr="00556E50">
        <w:t>General appeals or fundraising for national/regional charities</w:t>
      </w:r>
    </w:p>
    <w:p w14:paraId="24CF5575" w14:textId="77777777" w:rsidR="00556E50" w:rsidRPr="00556E50" w:rsidRDefault="00556E50" w:rsidP="00556E50">
      <w:pPr>
        <w:numPr>
          <w:ilvl w:val="0"/>
          <w:numId w:val="12"/>
        </w:numPr>
      </w:pPr>
      <w:r w:rsidRPr="00556E50">
        <w:t>Projects that discriminate or exclude based on religion, race, gender, disability, sexual orientation, or age</w:t>
      </w:r>
    </w:p>
    <w:bookmarkEnd w:id="1"/>
    <w:p w14:paraId="55805A99" w14:textId="77777777" w:rsidR="00556E50" w:rsidRPr="00556E50" w:rsidRDefault="00556E50" w:rsidP="00556E50">
      <w:pPr>
        <w:numPr>
          <w:ilvl w:val="0"/>
          <w:numId w:val="12"/>
        </w:numPr>
      </w:pPr>
      <w:r w:rsidRPr="00556E50">
        <w:t>Projects that cannot be completed within 12 months</w:t>
      </w:r>
    </w:p>
    <w:p w14:paraId="382070BB" w14:textId="25085C76" w:rsidR="00556E50" w:rsidRDefault="00556E50" w:rsidP="00A85DA1">
      <w:pPr>
        <w:pStyle w:val="Heading1"/>
      </w:pPr>
      <w:r w:rsidRPr="00556E50">
        <w:t>Funding Priorities and Match Funding</w:t>
      </w:r>
    </w:p>
    <w:p w14:paraId="30FE2CED" w14:textId="7BA79930" w:rsidR="00EE4B3C" w:rsidRPr="00EE4B3C" w:rsidRDefault="00EE4B3C" w:rsidP="00EE4B3C">
      <w:r w:rsidRPr="00EE4B3C">
        <w:t>Collaborative applications or partnerships between local organisations are encouraged and will be looked upon favourably where they demonstrate strong community impact</w:t>
      </w:r>
      <w:r>
        <w:t>.</w:t>
      </w:r>
    </w:p>
    <w:p w14:paraId="4F9184E8" w14:textId="77777777" w:rsidR="00556E50" w:rsidRPr="00556E50" w:rsidRDefault="00556E50" w:rsidP="00D248ED">
      <w:pPr>
        <w:pStyle w:val="Heading2"/>
      </w:pPr>
      <w:r w:rsidRPr="00556E50">
        <w:t>5.1 Priority Areas</w:t>
      </w:r>
    </w:p>
    <w:p w14:paraId="1CA4A35B" w14:textId="77777777" w:rsidR="00556E50" w:rsidRPr="00556E50" w:rsidRDefault="00556E50" w:rsidP="00556E50">
      <w:pPr>
        <w:numPr>
          <w:ilvl w:val="0"/>
          <w:numId w:val="13"/>
        </w:numPr>
      </w:pPr>
      <w:r w:rsidRPr="00556E50">
        <w:t>Projects addressing gaps in current provision</w:t>
      </w:r>
    </w:p>
    <w:p w14:paraId="731BA330" w14:textId="77777777" w:rsidR="00556E50" w:rsidRPr="00556E50" w:rsidRDefault="00556E50" w:rsidP="00556E50">
      <w:pPr>
        <w:numPr>
          <w:ilvl w:val="0"/>
          <w:numId w:val="13"/>
        </w:numPr>
      </w:pPr>
      <w:r w:rsidRPr="00556E50">
        <w:t>Initiatives tackling inequality, discrimination, and social exclusion</w:t>
      </w:r>
    </w:p>
    <w:p w14:paraId="06504D12" w14:textId="77777777" w:rsidR="00556E50" w:rsidRPr="00556E50" w:rsidRDefault="00556E50" w:rsidP="00556E50">
      <w:pPr>
        <w:numPr>
          <w:ilvl w:val="0"/>
          <w:numId w:val="13"/>
        </w:numPr>
      </w:pPr>
      <w:r w:rsidRPr="00556E50">
        <w:t>Activities promoting community cohesion and networking</w:t>
      </w:r>
    </w:p>
    <w:p w14:paraId="51A95CEB" w14:textId="77777777" w:rsidR="00556E50" w:rsidRPr="00556E50" w:rsidRDefault="00556E50" w:rsidP="00556E50">
      <w:pPr>
        <w:numPr>
          <w:ilvl w:val="0"/>
          <w:numId w:val="13"/>
        </w:numPr>
      </w:pPr>
      <w:r w:rsidRPr="00556E50">
        <w:t>Projects preserving local culture and heritage</w:t>
      </w:r>
    </w:p>
    <w:p w14:paraId="695E71BE" w14:textId="77777777" w:rsidR="00556E50" w:rsidRPr="00556E50" w:rsidRDefault="00556E50" w:rsidP="00556E50">
      <w:pPr>
        <w:numPr>
          <w:ilvl w:val="0"/>
          <w:numId w:val="13"/>
        </w:numPr>
      </w:pPr>
      <w:r w:rsidRPr="00556E50">
        <w:t>Initiatives developing community skills and capacity</w:t>
      </w:r>
    </w:p>
    <w:p w14:paraId="673E8613" w14:textId="77777777" w:rsidR="00556E50" w:rsidRPr="00556E50" w:rsidRDefault="00556E50" w:rsidP="00556E50">
      <w:pPr>
        <w:numPr>
          <w:ilvl w:val="0"/>
          <w:numId w:val="13"/>
        </w:numPr>
      </w:pPr>
      <w:r w:rsidRPr="00556E50">
        <w:t>Activities open and accessible to all residents</w:t>
      </w:r>
    </w:p>
    <w:p w14:paraId="64AA7100" w14:textId="77777777" w:rsidR="00556E50" w:rsidRPr="00556E50" w:rsidRDefault="00556E50" w:rsidP="00D248ED">
      <w:pPr>
        <w:pStyle w:val="Heading2"/>
      </w:pPr>
      <w:r w:rsidRPr="00556E50">
        <w:t>5.2 Match Funding Policy</w:t>
      </w:r>
    </w:p>
    <w:p w14:paraId="79BDEEA1" w14:textId="77777777" w:rsidR="00556E50" w:rsidRPr="00556E50" w:rsidRDefault="00556E50" w:rsidP="00556E50">
      <w:r w:rsidRPr="00556E50">
        <w:rPr>
          <w:b/>
          <w:bCs/>
        </w:rPr>
        <w:t>When applications exceed available funds, priority will be given to projects with match funding.</w:t>
      </w:r>
      <w:r w:rsidRPr="00556E50">
        <w:t xml:space="preserve"> This approach:</w:t>
      </w:r>
    </w:p>
    <w:p w14:paraId="06788A55" w14:textId="77777777" w:rsidR="00556E50" w:rsidRPr="00556E50" w:rsidRDefault="00556E50" w:rsidP="00556E50">
      <w:pPr>
        <w:numPr>
          <w:ilvl w:val="0"/>
          <w:numId w:val="14"/>
        </w:numPr>
      </w:pPr>
      <w:r w:rsidRPr="00556E50">
        <w:t>Maximises the impact of public funds</w:t>
      </w:r>
    </w:p>
    <w:p w14:paraId="595F8B76" w14:textId="77777777" w:rsidR="00556E50" w:rsidRPr="00556E50" w:rsidRDefault="00556E50" w:rsidP="00556E50">
      <w:pPr>
        <w:numPr>
          <w:ilvl w:val="0"/>
          <w:numId w:val="14"/>
        </w:numPr>
      </w:pPr>
      <w:r w:rsidRPr="00556E50">
        <w:t>Demonstrates applicant commitment</w:t>
      </w:r>
    </w:p>
    <w:p w14:paraId="41760AA1" w14:textId="77777777" w:rsidR="00556E50" w:rsidRPr="00556E50" w:rsidRDefault="00556E50" w:rsidP="00556E50">
      <w:pPr>
        <w:numPr>
          <w:ilvl w:val="0"/>
          <w:numId w:val="14"/>
        </w:numPr>
      </w:pPr>
      <w:r w:rsidRPr="00556E50">
        <w:t>Ensures project sustainability</w:t>
      </w:r>
    </w:p>
    <w:p w14:paraId="68829761" w14:textId="77777777" w:rsidR="00556E50" w:rsidRPr="00556E50" w:rsidRDefault="00556E50" w:rsidP="00556E50">
      <w:pPr>
        <w:numPr>
          <w:ilvl w:val="0"/>
          <w:numId w:val="14"/>
        </w:numPr>
      </w:pPr>
      <w:r w:rsidRPr="00556E50">
        <w:lastRenderedPageBreak/>
        <w:t>Provides better value for council taxpayers</w:t>
      </w:r>
    </w:p>
    <w:p w14:paraId="74F65CB8" w14:textId="77777777" w:rsidR="00556E50" w:rsidRPr="00556E50" w:rsidRDefault="00556E50" w:rsidP="00556E50">
      <w:r w:rsidRPr="00556E50">
        <w:rPr>
          <w:b/>
          <w:bCs/>
        </w:rPr>
        <w:t>Applications must demonstrate fundraising efforts including:</w:t>
      </w:r>
    </w:p>
    <w:p w14:paraId="2A50020B" w14:textId="77777777" w:rsidR="00556E50" w:rsidRPr="00556E50" w:rsidRDefault="00556E50" w:rsidP="00556E50">
      <w:pPr>
        <w:numPr>
          <w:ilvl w:val="0"/>
          <w:numId w:val="15"/>
        </w:numPr>
      </w:pPr>
      <w:r w:rsidRPr="00556E50">
        <w:t>Details of other funding sources approached</w:t>
      </w:r>
    </w:p>
    <w:p w14:paraId="5A6B3BEF" w14:textId="77777777" w:rsidR="00556E50" w:rsidRPr="00556E50" w:rsidRDefault="00556E50" w:rsidP="00556E50">
      <w:pPr>
        <w:numPr>
          <w:ilvl w:val="0"/>
          <w:numId w:val="15"/>
        </w:numPr>
      </w:pPr>
      <w:r w:rsidRPr="00556E50">
        <w:t>Amount of match funding secured or committed</w:t>
      </w:r>
    </w:p>
    <w:p w14:paraId="5EE714CB" w14:textId="77777777" w:rsidR="00556E50" w:rsidRPr="00556E50" w:rsidRDefault="00556E50" w:rsidP="00556E50">
      <w:pPr>
        <w:numPr>
          <w:ilvl w:val="0"/>
          <w:numId w:val="15"/>
        </w:numPr>
      </w:pPr>
      <w:r w:rsidRPr="00556E50">
        <w:t>Plans for ongoing sustainability</w:t>
      </w:r>
    </w:p>
    <w:p w14:paraId="621588D6" w14:textId="77777777" w:rsidR="00556E50" w:rsidRPr="00556E50" w:rsidRDefault="00556E50" w:rsidP="00556E50">
      <w:pPr>
        <w:numPr>
          <w:ilvl w:val="0"/>
          <w:numId w:val="15"/>
        </w:numPr>
      </w:pPr>
      <w:r w:rsidRPr="00556E50">
        <w:t>Evidence of community support and engagement</w:t>
      </w:r>
    </w:p>
    <w:p w14:paraId="6F2F5274" w14:textId="609BE99B" w:rsidR="00556E50" w:rsidRPr="00556E50" w:rsidRDefault="00556E50" w:rsidP="00A85DA1">
      <w:pPr>
        <w:pStyle w:val="Heading1"/>
      </w:pPr>
      <w:r w:rsidRPr="00556E50">
        <w:t>Application Process</w:t>
      </w:r>
    </w:p>
    <w:p w14:paraId="057B2EBF" w14:textId="77777777" w:rsidR="00556E50" w:rsidRPr="00556E50" w:rsidRDefault="00556E50" w:rsidP="00D248ED">
      <w:pPr>
        <w:pStyle w:val="Heading2"/>
      </w:pPr>
      <w:r w:rsidRPr="00556E50">
        <w:t>6.1 How to Apply</w:t>
      </w:r>
    </w:p>
    <w:p w14:paraId="61BCF993" w14:textId="77777777" w:rsidR="00556E50" w:rsidRPr="00556E50" w:rsidRDefault="00556E50" w:rsidP="00556E50">
      <w:pPr>
        <w:numPr>
          <w:ilvl w:val="0"/>
          <w:numId w:val="16"/>
        </w:numPr>
      </w:pPr>
      <w:r w:rsidRPr="00556E50">
        <w:t>Use only the official Council application form</w:t>
      </w:r>
    </w:p>
    <w:p w14:paraId="29BF7257" w14:textId="11FDC7AA" w:rsidR="00556E50" w:rsidRPr="00556E50" w:rsidRDefault="00556E50" w:rsidP="00556E50">
      <w:pPr>
        <w:numPr>
          <w:ilvl w:val="0"/>
          <w:numId w:val="16"/>
        </w:numPr>
      </w:pPr>
      <w:r w:rsidRPr="00556E50">
        <w:t xml:space="preserve">Submit by Friday </w:t>
      </w:r>
      <w:r>
        <w:t>2</w:t>
      </w:r>
      <w:r w:rsidRPr="00556E50">
        <w:rPr>
          <w:vertAlign w:val="superscript"/>
        </w:rPr>
        <w:t>nd</w:t>
      </w:r>
      <w:r>
        <w:t xml:space="preserve"> August 2025</w:t>
      </w:r>
    </w:p>
    <w:p w14:paraId="309249B3" w14:textId="06219BD9" w:rsidR="00556E50" w:rsidRPr="00556E50" w:rsidRDefault="00556E50" w:rsidP="00556E50">
      <w:pPr>
        <w:numPr>
          <w:ilvl w:val="0"/>
          <w:numId w:val="16"/>
        </w:numPr>
      </w:pPr>
      <w:r w:rsidRPr="00556E50">
        <w:rPr>
          <w:b/>
          <w:bCs/>
        </w:rPr>
        <w:t>No presentations required</w:t>
      </w:r>
      <w:r w:rsidRPr="00556E50">
        <w:t xml:space="preserve"> - decisions based </w:t>
      </w:r>
      <w:r>
        <w:t xml:space="preserve">solely </w:t>
      </w:r>
      <w:r w:rsidRPr="00556E50">
        <w:t>on written applications</w:t>
      </w:r>
    </w:p>
    <w:p w14:paraId="7722268D" w14:textId="77777777" w:rsidR="00556E50" w:rsidRPr="00556E50" w:rsidRDefault="00556E50" w:rsidP="00556E50">
      <w:pPr>
        <w:numPr>
          <w:ilvl w:val="0"/>
          <w:numId w:val="16"/>
        </w:numPr>
      </w:pPr>
      <w:r w:rsidRPr="00556E50">
        <w:t>One application per organisation per financial year</w:t>
      </w:r>
    </w:p>
    <w:p w14:paraId="742DD6D8" w14:textId="77777777" w:rsidR="00556E50" w:rsidRDefault="00556E50" w:rsidP="00556E50">
      <w:pPr>
        <w:numPr>
          <w:ilvl w:val="0"/>
          <w:numId w:val="16"/>
        </w:numPr>
      </w:pPr>
      <w:r w:rsidRPr="00556E50">
        <w:t>Late applications will not be accepted</w:t>
      </w:r>
    </w:p>
    <w:p w14:paraId="1DA201F3" w14:textId="77777777" w:rsidR="00D37BC9" w:rsidRPr="00D37BC9" w:rsidRDefault="00D37BC9" w:rsidP="00D248ED">
      <w:pPr>
        <w:pStyle w:val="Heading2"/>
      </w:pPr>
      <w:r w:rsidRPr="00D37BC9">
        <w:t>6.2 Assessment and Decision-Making Process</w:t>
      </w:r>
    </w:p>
    <w:p w14:paraId="6B317A27" w14:textId="77777777" w:rsidR="00D37BC9" w:rsidRPr="00D37BC9" w:rsidRDefault="00D37BC9" w:rsidP="00D37BC9">
      <w:pPr>
        <w:numPr>
          <w:ilvl w:val="0"/>
          <w:numId w:val="47"/>
        </w:numPr>
      </w:pPr>
      <w:r w:rsidRPr="00D37BC9">
        <w:t xml:space="preserve">All applications will be </w:t>
      </w:r>
      <w:r w:rsidRPr="00D37BC9">
        <w:rPr>
          <w:b/>
          <w:bCs/>
        </w:rPr>
        <w:t>initially reviewed by a small panel of Town Councillors and Officers</w:t>
      </w:r>
      <w:r w:rsidRPr="00D37BC9">
        <w:t>.</w:t>
      </w:r>
    </w:p>
    <w:p w14:paraId="642810D1" w14:textId="77777777" w:rsidR="00D37BC9" w:rsidRPr="00D37BC9" w:rsidRDefault="00D37BC9" w:rsidP="00D37BC9">
      <w:pPr>
        <w:numPr>
          <w:ilvl w:val="0"/>
          <w:numId w:val="47"/>
        </w:numPr>
      </w:pPr>
      <w:r w:rsidRPr="00D37BC9">
        <w:t xml:space="preserve">Each application will be assessed </w:t>
      </w:r>
      <w:r w:rsidRPr="00D37BC9">
        <w:rPr>
          <w:b/>
          <w:bCs/>
        </w:rPr>
        <w:t>on its individual merits</w:t>
      </w:r>
      <w:r w:rsidRPr="00D37BC9">
        <w:t xml:space="preserve"> using the </w:t>
      </w:r>
      <w:r w:rsidRPr="00D37BC9">
        <w:rPr>
          <w:b/>
          <w:bCs/>
        </w:rPr>
        <w:t>points-based system outlined in Appendix A</w:t>
      </w:r>
      <w:r w:rsidRPr="00D37BC9">
        <w:t>.</w:t>
      </w:r>
    </w:p>
    <w:p w14:paraId="701A1C6E" w14:textId="57BBE071" w:rsidR="00D37BC9" w:rsidRPr="00D37BC9" w:rsidRDefault="00D37BC9" w:rsidP="00D37BC9">
      <w:pPr>
        <w:numPr>
          <w:ilvl w:val="0"/>
          <w:numId w:val="47"/>
        </w:numPr>
      </w:pPr>
      <w:r w:rsidRPr="00D37BC9">
        <w:t xml:space="preserve">The assessment will consider alignment with </w:t>
      </w:r>
      <w:r>
        <w:t>criteria set out below.</w:t>
      </w:r>
    </w:p>
    <w:p w14:paraId="2AA25ABD" w14:textId="40E19EF6" w:rsidR="00D37BC9" w:rsidRDefault="00D37BC9" w:rsidP="005B787A">
      <w:pPr>
        <w:numPr>
          <w:ilvl w:val="0"/>
          <w:numId w:val="47"/>
        </w:numPr>
      </w:pPr>
      <w:r w:rsidRPr="00D37BC9">
        <w:t xml:space="preserve">The panel will make </w:t>
      </w:r>
      <w:r w:rsidRPr="00D37BC9">
        <w:rPr>
          <w:b/>
          <w:bCs/>
        </w:rPr>
        <w:t>recommendations for grant awards</w:t>
      </w:r>
      <w:r w:rsidRPr="00D37BC9">
        <w:t xml:space="preserve"> to the </w:t>
      </w:r>
      <w:r w:rsidRPr="00D37BC9">
        <w:rPr>
          <w:b/>
          <w:bCs/>
        </w:rPr>
        <w:t>Finance and General Services Committee</w:t>
      </w:r>
      <w:r w:rsidRPr="00D37BC9">
        <w:t>.</w:t>
      </w:r>
    </w:p>
    <w:p w14:paraId="418A21C3" w14:textId="4322D08F" w:rsidR="0049575A" w:rsidRPr="00556E50" w:rsidRDefault="0049575A" w:rsidP="005B787A">
      <w:pPr>
        <w:numPr>
          <w:ilvl w:val="0"/>
          <w:numId w:val="47"/>
        </w:numPr>
      </w:pPr>
      <w:r w:rsidRPr="0049575A">
        <w:t xml:space="preserve">Final decisions will be made by the Committee at its meeting </w:t>
      </w:r>
      <w:r>
        <w:t xml:space="preserve">on </w:t>
      </w:r>
      <w:r w:rsidRPr="0049575A">
        <w:rPr>
          <w:b/>
          <w:bCs/>
        </w:rPr>
        <w:t>9</w:t>
      </w:r>
      <w:r w:rsidRPr="0049575A">
        <w:rPr>
          <w:b/>
          <w:bCs/>
          <w:vertAlign w:val="superscript"/>
        </w:rPr>
        <w:t>th</w:t>
      </w:r>
      <w:r w:rsidRPr="0049575A">
        <w:rPr>
          <w:b/>
          <w:bCs/>
        </w:rPr>
        <w:t xml:space="preserve"> S</w:t>
      </w:r>
      <w:r w:rsidRPr="0049575A">
        <w:rPr>
          <w:b/>
          <w:bCs/>
        </w:rPr>
        <w:t>eptember 2025</w:t>
      </w:r>
    </w:p>
    <w:p w14:paraId="1D9824C4" w14:textId="4435B39D" w:rsidR="00556E50" w:rsidRPr="00556E50" w:rsidRDefault="00556E50" w:rsidP="00D248ED">
      <w:pPr>
        <w:pStyle w:val="Heading2"/>
      </w:pPr>
      <w:r w:rsidRPr="00556E50">
        <w:t>6.</w:t>
      </w:r>
      <w:r w:rsidR="00D37BC9">
        <w:t>3</w:t>
      </w:r>
      <w:r w:rsidRPr="00556E50">
        <w:t xml:space="preserve"> Assessment Criteria</w:t>
      </w:r>
    </w:p>
    <w:p w14:paraId="70C73643" w14:textId="77777777" w:rsidR="00556E50" w:rsidRPr="00556E50" w:rsidRDefault="00556E50" w:rsidP="00556E50">
      <w:pPr>
        <w:rPr>
          <w:b/>
          <w:bCs/>
        </w:rPr>
      </w:pPr>
      <w:r w:rsidRPr="00556E50">
        <w:rPr>
          <w:b/>
          <w:bCs/>
        </w:rPr>
        <w:t>Applications will be scored on:</w:t>
      </w:r>
    </w:p>
    <w:p w14:paraId="257997FC" w14:textId="737A2A7E" w:rsidR="00556E50" w:rsidRPr="00556E50" w:rsidRDefault="00556E50" w:rsidP="00556E50">
      <w:pPr>
        <w:numPr>
          <w:ilvl w:val="0"/>
          <w:numId w:val="17"/>
        </w:numPr>
      </w:pPr>
      <w:r w:rsidRPr="00556E50">
        <w:t>Benefit to Ashington residents</w:t>
      </w:r>
    </w:p>
    <w:p w14:paraId="44C86AE6" w14:textId="49E61E2C" w:rsidR="00556E50" w:rsidRPr="00556E50" w:rsidRDefault="00556E50" w:rsidP="00556E50">
      <w:pPr>
        <w:numPr>
          <w:ilvl w:val="0"/>
          <w:numId w:val="17"/>
        </w:numPr>
      </w:pPr>
      <w:r w:rsidRPr="00556E50">
        <w:t>Alignment with Council priorities</w:t>
      </w:r>
    </w:p>
    <w:p w14:paraId="57B9D6EA" w14:textId="77777777" w:rsidR="00556E50" w:rsidRPr="00556E50" w:rsidRDefault="00556E50" w:rsidP="00556E50">
      <w:pPr>
        <w:numPr>
          <w:ilvl w:val="0"/>
          <w:numId w:val="17"/>
        </w:numPr>
      </w:pPr>
      <w:r w:rsidRPr="00556E50">
        <w:t>Financial need and value for money</w:t>
      </w:r>
    </w:p>
    <w:p w14:paraId="0F76B54A" w14:textId="77777777" w:rsidR="00556E50" w:rsidRPr="00556E50" w:rsidRDefault="00556E50" w:rsidP="00556E50">
      <w:pPr>
        <w:numPr>
          <w:ilvl w:val="0"/>
          <w:numId w:val="17"/>
        </w:numPr>
      </w:pPr>
      <w:r w:rsidRPr="00556E50">
        <w:t>Evidence of match funding and sustainability planning</w:t>
      </w:r>
    </w:p>
    <w:p w14:paraId="58158909" w14:textId="77777777" w:rsidR="00556E50" w:rsidRPr="00556E50" w:rsidRDefault="00556E50" w:rsidP="00556E50">
      <w:pPr>
        <w:numPr>
          <w:ilvl w:val="0"/>
          <w:numId w:val="17"/>
        </w:numPr>
      </w:pPr>
      <w:r w:rsidRPr="00556E50">
        <w:t>Quality of project planning and realistic timescales</w:t>
      </w:r>
    </w:p>
    <w:p w14:paraId="4D36FE1A" w14:textId="77777777" w:rsidR="00556E50" w:rsidRPr="00556E50" w:rsidRDefault="00556E50" w:rsidP="00556E50">
      <w:pPr>
        <w:numPr>
          <w:ilvl w:val="0"/>
          <w:numId w:val="17"/>
        </w:numPr>
      </w:pPr>
      <w:r w:rsidRPr="00556E50">
        <w:t>Organisational capacity and governance</w:t>
      </w:r>
    </w:p>
    <w:p w14:paraId="51BF117F" w14:textId="16756CCF" w:rsidR="00556E50" w:rsidRPr="00556E50" w:rsidRDefault="00556E50" w:rsidP="00A85DA1">
      <w:pPr>
        <w:pStyle w:val="Heading1"/>
      </w:pPr>
      <w:r w:rsidRPr="00556E50">
        <w:lastRenderedPageBreak/>
        <w:t>Terms and Conditions</w:t>
      </w:r>
    </w:p>
    <w:p w14:paraId="2A0F1E1D" w14:textId="77777777" w:rsidR="00556E50" w:rsidRPr="00556E50" w:rsidRDefault="00556E50" w:rsidP="00D248ED">
      <w:pPr>
        <w:pStyle w:val="Heading2"/>
      </w:pPr>
      <w:r w:rsidRPr="00556E50">
        <w:t>7.1 Grant Usage</w:t>
      </w:r>
    </w:p>
    <w:p w14:paraId="2103045F" w14:textId="77777777" w:rsidR="00556E50" w:rsidRPr="00556E50" w:rsidRDefault="00556E50" w:rsidP="00556E50">
      <w:pPr>
        <w:numPr>
          <w:ilvl w:val="0"/>
          <w:numId w:val="18"/>
        </w:numPr>
      </w:pPr>
      <w:r w:rsidRPr="00556E50">
        <w:t>Funding must be used for stated purposes only</w:t>
      </w:r>
    </w:p>
    <w:p w14:paraId="0BCB6F15" w14:textId="77777777" w:rsidR="00556E50" w:rsidRPr="00556E50" w:rsidRDefault="00556E50" w:rsidP="00556E50">
      <w:pPr>
        <w:numPr>
          <w:ilvl w:val="0"/>
          <w:numId w:val="18"/>
        </w:numPr>
      </w:pPr>
      <w:r w:rsidRPr="00556E50">
        <w:t>Projects must be completed within 12 months</w:t>
      </w:r>
    </w:p>
    <w:p w14:paraId="16711F72" w14:textId="77777777" w:rsidR="00556E50" w:rsidRPr="00556E50" w:rsidRDefault="00556E50" w:rsidP="00556E50">
      <w:pPr>
        <w:numPr>
          <w:ilvl w:val="0"/>
          <w:numId w:val="18"/>
        </w:numPr>
      </w:pPr>
      <w:r w:rsidRPr="00556E50">
        <w:t>Reasonable variations in individual costs acceptable</w:t>
      </w:r>
    </w:p>
    <w:p w14:paraId="0CD00F57" w14:textId="77777777" w:rsidR="00556E50" w:rsidRPr="00556E50" w:rsidRDefault="00556E50" w:rsidP="00556E50">
      <w:pPr>
        <w:numPr>
          <w:ilvl w:val="0"/>
          <w:numId w:val="18"/>
        </w:numPr>
      </w:pPr>
      <w:r w:rsidRPr="00556E50">
        <w:t>Unused funds must be returned</w:t>
      </w:r>
    </w:p>
    <w:p w14:paraId="24E9358E" w14:textId="77777777" w:rsidR="00556E50" w:rsidRPr="00556E50" w:rsidRDefault="00556E50" w:rsidP="00556E50">
      <w:pPr>
        <w:numPr>
          <w:ilvl w:val="0"/>
          <w:numId w:val="18"/>
        </w:numPr>
      </w:pPr>
      <w:r w:rsidRPr="00556E50">
        <w:t>Council reserves right to award partial amounts</w:t>
      </w:r>
    </w:p>
    <w:p w14:paraId="21B83DDD" w14:textId="06C70C79" w:rsidR="00556E50" w:rsidRPr="00556E50" w:rsidRDefault="00556E50" w:rsidP="00D248ED">
      <w:pPr>
        <w:pStyle w:val="Heading2"/>
      </w:pPr>
      <w:r w:rsidRPr="00556E50">
        <w:t>7.2 Monitoring Requirements</w:t>
      </w:r>
      <w:r>
        <w:t xml:space="preserve"> for funding received</w:t>
      </w:r>
    </w:p>
    <w:p w14:paraId="6BD12170" w14:textId="41C90B1A" w:rsidR="006D5D67" w:rsidRPr="006D5D67" w:rsidRDefault="006D5D67" w:rsidP="006D5D67">
      <w:pPr>
        <w:rPr>
          <w:b/>
          <w:bCs/>
        </w:rPr>
      </w:pPr>
      <w:r w:rsidRPr="006D5D67">
        <w:rPr>
          <w:b/>
          <w:bCs/>
        </w:rPr>
        <w:t>Evaluation Timeline:</w:t>
      </w:r>
    </w:p>
    <w:p w14:paraId="50FCC2F8" w14:textId="77777777" w:rsidR="006D5D67" w:rsidRPr="006D5D67" w:rsidRDefault="006D5D67" w:rsidP="006D5D67">
      <w:pPr>
        <w:numPr>
          <w:ilvl w:val="0"/>
          <w:numId w:val="40"/>
        </w:numPr>
      </w:pPr>
      <w:r w:rsidRPr="006D5D67">
        <w:t>For projects: Evaluation requests will be sent 10 months after receipt of award. Where projects have not been completed, we will agree a new date.</w:t>
      </w:r>
    </w:p>
    <w:p w14:paraId="0BD0728C" w14:textId="77777777" w:rsidR="006D5D67" w:rsidRPr="006D5D67" w:rsidRDefault="006D5D67" w:rsidP="006D5D67">
      <w:pPr>
        <w:numPr>
          <w:ilvl w:val="0"/>
          <w:numId w:val="40"/>
        </w:numPr>
      </w:pPr>
      <w:r w:rsidRPr="006D5D67">
        <w:t>For ongoing activities: Evaluation requests will be sent 10 months after receipt of award.</w:t>
      </w:r>
    </w:p>
    <w:p w14:paraId="56C71F27" w14:textId="77777777" w:rsidR="006D5D67" w:rsidRPr="006D5D67" w:rsidRDefault="006D5D67" w:rsidP="006D5D67">
      <w:pPr>
        <w:numPr>
          <w:ilvl w:val="0"/>
          <w:numId w:val="40"/>
        </w:numPr>
      </w:pPr>
      <w:r w:rsidRPr="006D5D67">
        <w:t>Deadline for submission: 4 weeks from date of evaluation request</w:t>
      </w:r>
    </w:p>
    <w:p w14:paraId="30030126" w14:textId="2C9AF25F" w:rsidR="006D5D67" w:rsidRPr="006D5D67" w:rsidRDefault="00D248ED" w:rsidP="006D5D67">
      <w:pPr>
        <w:rPr>
          <w:b/>
          <w:bCs/>
        </w:rPr>
      </w:pPr>
      <w:r>
        <w:rPr>
          <w:b/>
          <w:bCs/>
        </w:rPr>
        <w:t xml:space="preserve">7.2.1 </w:t>
      </w:r>
      <w:r w:rsidR="006D5D67" w:rsidRPr="006D5D67">
        <w:rPr>
          <w:b/>
          <w:bCs/>
        </w:rPr>
        <w:t>Enhanced Monitoring for Grants of £2,500 or More</w:t>
      </w:r>
    </w:p>
    <w:p w14:paraId="7E4FCA72" w14:textId="77777777" w:rsidR="006D5D67" w:rsidRPr="006D5D67" w:rsidRDefault="006D5D67" w:rsidP="006D5D67">
      <w:r w:rsidRPr="006D5D67">
        <w:t>Additional requirements apply to grants of £2,500 and above, with different approaches for projects versus running costs:</w:t>
      </w:r>
    </w:p>
    <w:p w14:paraId="561667BB" w14:textId="71BCA400" w:rsidR="006D5D67" w:rsidRPr="006D5D67" w:rsidRDefault="00D248ED" w:rsidP="006D5D67">
      <w:pPr>
        <w:rPr>
          <w:b/>
          <w:bCs/>
        </w:rPr>
      </w:pPr>
      <w:r>
        <w:rPr>
          <w:b/>
          <w:bCs/>
        </w:rPr>
        <w:t xml:space="preserve">7.2.1.1 </w:t>
      </w:r>
      <w:r w:rsidR="006D5D67" w:rsidRPr="006D5D67">
        <w:rPr>
          <w:b/>
          <w:bCs/>
        </w:rPr>
        <w:t>For Project-Based Grants of £2,500 or More:</w:t>
      </w:r>
    </w:p>
    <w:p w14:paraId="34965590" w14:textId="77777777" w:rsidR="006D5D67" w:rsidRPr="006D5D67" w:rsidRDefault="006D5D67" w:rsidP="006D5D67">
      <w:pPr>
        <w:rPr>
          <w:b/>
          <w:bCs/>
        </w:rPr>
      </w:pPr>
      <w:r w:rsidRPr="006D5D67">
        <w:rPr>
          <w:b/>
          <w:bCs/>
        </w:rPr>
        <w:t>Phased Payment Structure:</w:t>
      </w:r>
    </w:p>
    <w:p w14:paraId="065D4CFC" w14:textId="77777777" w:rsidR="006D5D67" w:rsidRPr="006D5D67" w:rsidRDefault="006D5D67" w:rsidP="006D5D67">
      <w:pPr>
        <w:numPr>
          <w:ilvl w:val="0"/>
          <w:numId w:val="41"/>
        </w:numPr>
      </w:pPr>
      <w:r w:rsidRPr="006D5D67">
        <w:t>First payment (60%): Released upon grant award confirmation</w:t>
      </w:r>
    </w:p>
    <w:p w14:paraId="445F0097" w14:textId="77777777" w:rsidR="006D5D67" w:rsidRPr="006D5D67" w:rsidRDefault="006D5D67" w:rsidP="006D5D67">
      <w:pPr>
        <w:numPr>
          <w:ilvl w:val="0"/>
          <w:numId w:val="41"/>
        </w:numPr>
      </w:pPr>
      <w:r w:rsidRPr="006D5D67">
        <w:t>Second payment (40%): Released upon satisfactory mid-project report and evidence of first phase expenditure</w:t>
      </w:r>
    </w:p>
    <w:p w14:paraId="0BA67EAB" w14:textId="77777777" w:rsidR="006D5D67" w:rsidRPr="006D5D67" w:rsidRDefault="006D5D67" w:rsidP="006D5D67">
      <w:pPr>
        <w:rPr>
          <w:b/>
          <w:bCs/>
        </w:rPr>
      </w:pPr>
      <w:r w:rsidRPr="006D5D67">
        <w:rPr>
          <w:b/>
          <w:bCs/>
        </w:rPr>
        <w:t>Mid-Project Reporting:</w:t>
      </w:r>
    </w:p>
    <w:p w14:paraId="0D56297C" w14:textId="77777777" w:rsidR="006D5D67" w:rsidRPr="006D5D67" w:rsidRDefault="006D5D67" w:rsidP="006D5D67">
      <w:pPr>
        <w:numPr>
          <w:ilvl w:val="0"/>
          <w:numId w:val="42"/>
        </w:numPr>
      </w:pPr>
      <w:r w:rsidRPr="006D5D67">
        <w:t>Due: 3 months after first payment received</w:t>
      </w:r>
    </w:p>
    <w:p w14:paraId="3D8238D6" w14:textId="77777777" w:rsidR="006D5D67" w:rsidRPr="006D5D67" w:rsidRDefault="006D5D67" w:rsidP="006D5D67">
      <w:pPr>
        <w:numPr>
          <w:ilvl w:val="0"/>
          <w:numId w:val="42"/>
        </w:numPr>
      </w:pPr>
      <w:r w:rsidRPr="006D5D67">
        <w:t xml:space="preserve">Required content: </w:t>
      </w:r>
    </w:p>
    <w:p w14:paraId="47CB4BD3" w14:textId="77777777" w:rsidR="006D5D67" w:rsidRPr="006D5D67" w:rsidRDefault="006D5D67" w:rsidP="006D5D67">
      <w:pPr>
        <w:numPr>
          <w:ilvl w:val="1"/>
          <w:numId w:val="42"/>
        </w:numPr>
      </w:pPr>
      <w:r w:rsidRPr="006D5D67">
        <w:t>Progress update against stated objectives</w:t>
      </w:r>
    </w:p>
    <w:p w14:paraId="5D28AE93" w14:textId="77777777" w:rsidR="006D5D67" w:rsidRPr="006D5D67" w:rsidRDefault="006D5D67" w:rsidP="006D5D67">
      <w:pPr>
        <w:numPr>
          <w:ilvl w:val="1"/>
          <w:numId w:val="42"/>
        </w:numPr>
      </w:pPr>
      <w:r w:rsidRPr="006D5D67">
        <w:t>Financial expenditure report with receipts/invoices</w:t>
      </w:r>
    </w:p>
    <w:p w14:paraId="7CBE1DD5" w14:textId="77777777" w:rsidR="006D5D67" w:rsidRPr="006D5D67" w:rsidRDefault="006D5D67" w:rsidP="006D5D67">
      <w:pPr>
        <w:numPr>
          <w:ilvl w:val="1"/>
          <w:numId w:val="42"/>
        </w:numPr>
      </w:pPr>
      <w:r w:rsidRPr="006D5D67">
        <w:t>Evidence of Council publicity credit to date</w:t>
      </w:r>
    </w:p>
    <w:p w14:paraId="248B6BD1" w14:textId="77777777" w:rsidR="006D5D67" w:rsidRPr="006D5D67" w:rsidRDefault="006D5D67" w:rsidP="006D5D67">
      <w:pPr>
        <w:numPr>
          <w:ilvl w:val="1"/>
          <w:numId w:val="42"/>
        </w:numPr>
      </w:pPr>
      <w:r w:rsidRPr="006D5D67">
        <w:t>Confirmation of project timeline and completion date</w:t>
      </w:r>
    </w:p>
    <w:p w14:paraId="13B3F916" w14:textId="550CCC1E" w:rsidR="006D5D67" w:rsidRPr="006D5D67" w:rsidRDefault="00D248ED" w:rsidP="006D5D67">
      <w:pPr>
        <w:rPr>
          <w:b/>
          <w:bCs/>
        </w:rPr>
      </w:pPr>
      <w:r>
        <w:rPr>
          <w:b/>
          <w:bCs/>
        </w:rPr>
        <w:t xml:space="preserve">7.2.1.2 </w:t>
      </w:r>
      <w:r w:rsidR="006D5D67" w:rsidRPr="006D5D67">
        <w:rPr>
          <w:b/>
          <w:bCs/>
        </w:rPr>
        <w:t>For Running Costs Grants of £2,500 or More:</w:t>
      </w:r>
    </w:p>
    <w:p w14:paraId="7A677165" w14:textId="77777777" w:rsidR="006D5D67" w:rsidRPr="006D5D67" w:rsidRDefault="006D5D67" w:rsidP="006D5D67">
      <w:pPr>
        <w:rPr>
          <w:b/>
          <w:bCs/>
        </w:rPr>
      </w:pPr>
      <w:r w:rsidRPr="006D5D67">
        <w:rPr>
          <w:b/>
          <w:bCs/>
        </w:rPr>
        <w:t>Phased Payment Structure:</w:t>
      </w:r>
    </w:p>
    <w:p w14:paraId="6D761691" w14:textId="77777777" w:rsidR="006D5D67" w:rsidRPr="006D5D67" w:rsidRDefault="006D5D67" w:rsidP="006D5D67">
      <w:pPr>
        <w:numPr>
          <w:ilvl w:val="0"/>
          <w:numId w:val="43"/>
        </w:numPr>
      </w:pPr>
      <w:r w:rsidRPr="006D5D67">
        <w:lastRenderedPageBreak/>
        <w:t>First payment (60%): Released upon grant award confirmation</w:t>
      </w:r>
    </w:p>
    <w:p w14:paraId="664CA1A6" w14:textId="77777777" w:rsidR="006D5D67" w:rsidRPr="006D5D67" w:rsidRDefault="006D5D67" w:rsidP="006D5D67">
      <w:pPr>
        <w:numPr>
          <w:ilvl w:val="0"/>
          <w:numId w:val="43"/>
        </w:numPr>
      </w:pPr>
      <w:r w:rsidRPr="006D5D67">
        <w:t>Second payment (40%): Released upon satisfactory interim report and evidence of first phase expenditure</w:t>
      </w:r>
    </w:p>
    <w:p w14:paraId="24E24994" w14:textId="77777777" w:rsidR="006D5D67" w:rsidRPr="006D5D67" w:rsidRDefault="006D5D67" w:rsidP="006D5D67">
      <w:pPr>
        <w:rPr>
          <w:b/>
          <w:bCs/>
        </w:rPr>
      </w:pPr>
      <w:r w:rsidRPr="006D5D67">
        <w:rPr>
          <w:b/>
          <w:bCs/>
        </w:rPr>
        <w:t>Interim Reporting (due 3 months after first payment):</w:t>
      </w:r>
    </w:p>
    <w:p w14:paraId="182D784D" w14:textId="77777777" w:rsidR="006D5D67" w:rsidRPr="006D5D67" w:rsidRDefault="006D5D67" w:rsidP="006D5D67">
      <w:pPr>
        <w:numPr>
          <w:ilvl w:val="0"/>
          <w:numId w:val="44"/>
        </w:numPr>
      </w:pPr>
      <w:r w:rsidRPr="006D5D67">
        <w:t>Service delivery progress and beneficiary impact to date</w:t>
      </w:r>
    </w:p>
    <w:p w14:paraId="236CEB08" w14:textId="52C9A6C7" w:rsidR="006D5D67" w:rsidRPr="006D5D67" w:rsidRDefault="006D5D67" w:rsidP="006D5D67">
      <w:pPr>
        <w:numPr>
          <w:ilvl w:val="0"/>
          <w:numId w:val="44"/>
        </w:numPr>
      </w:pPr>
      <w:r w:rsidRPr="006D5D67">
        <w:t>Financial expenditure report with receipts/invoices</w:t>
      </w:r>
    </w:p>
    <w:p w14:paraId="24814935" w14:textId="77777777" w:rsidR="006D5D67" w:rsidRPr="006D5D67" w:rsidRDefault="006D5D67" w:rsidP="006D5D67">
      <w:pPr>
        <w:numPr>
          <w:ilvl w:val="0"/>
          <w:numId w:val="44"/>
        </w:numPr>
      </w:pPr>
      <w:r w:rsidRPr="006D5D67">
        <w:t>Evidence of Council publicity credit to date</w:t>
      </w:r>
    </w:p>
    <w:p w14:paraId="15B2793F" w14:textId="77777777" w:rsidR="006D5D67" w:rsidRPr="006D5D67" w:rsidRDefault="006D5D67" w:rsidP="006D5D67">
      <w:pPr>
        <w:rPr>
          <w:b/>
          <w:bCs/>
        </w:rPr>
      </w:pPr>
      <w:r w:rsidRPr="006D5D67">
        <w:rPr>
          <w:b/>
          <w:bCs/>
        </w:rPr>
        <w:t>Failure to complete evaluation may result in:</w:t>
      </w:r>
    </w:p>
    <w:p w14:paraId="7AE220DA" w14:textId="77777777" w:rsidR="006D5D67" w:rsidRPr="006D5D67" w:rsidRDefault="006D5D67" w:rsidP="006D5D67">
      <w:pPr>
        <w:numPr>
          <w:ilvl w:val="0"/>
          <w:numId w:val="45"/>
        </w:numPr>
      </w:pPr>
      <w:r w:rsidRPr="006D5D67">
        <w:t>Rejection of future applications</w:t>
      </w:r>
    </w:p>
    <w:p w14:paraId="50134986" w14:textId="77777777" w:rsidR="006D5D67" w:rsidRPr="006D5D67" w:rsidRDefault="006D5D67" w:rsidP="006D5D67">
      <w:pPr>
        <w:numPr>
          <w:ilvl w:val="0"/>
          <w:numId w:val="45"/>
        </w:numPr>
      </w:pPr>
      <w:r w:rsidRPr="006D5D67">
        <w:t>Request for grant repayment</w:t>
      </w:r>
    </w:p>
    <w:p w14:paraId="0EF87D1D" w14:textId="77777777" w:rsidR="006D5D67" w:rsidRPr="006D5D67" w:rsidRDefault="006D5D67" w:rsidP="006D5D67">
      <w:pPr>
        <w:numPr>
          <w:ilvl w:val="0"/>
          <w:numId w:val="45"/>
        </w:numPr>
      </w:pPr>
      <w:r w:rsidRPr="006D5D67">
        <w:t>Exclusion from future funding rounds</w:t>
      </w:r>
    </w:p>
    <w:p w14:paraId="6DE4766F" w14:textId="77777777" w:rsidR="006D5D67" w:rsidRPr="006D5D67" w:rsidRDefault="006D5D67" w:rsidP="006D5D67">
      <w:pPr>
        <w:numPr>
          <w:ilvl w:val="0"/>
          <w:numId w:val="45"/>
        </w:numPr>
      </w:pPr>
      <w:r w:rsidRPr="006D5D67">
        <w:t>Delay or withholding of any future grant payments until evaluation is received</w:t>
      </w:r>
    </w:p>
    <w:p w14:paraId="278E8FD3" w14:textId="77777777" w:rsidR="00556E50" w:rsidRPr="00556E50" w:rsidRDefault="00556E50" w:rsidP="00D248ED">
      <w:pPr>
        <w:pStyle w:val="Heading2"/>
      </w:pPr>
      <w:r w:rsidRPr="00556E50">
        <w:t>7.3 Previous Grant Compliance</w:t>
      </w:r>
    </w:p>
    <w:p w14:paraId="23305457" w14:textId="77777777" w:rsidR="00556E50" w:rsidRPr="00556E50" w:rsidRDefault="00556E50" w:rsidP="00556E50">
      <w:r w:rsidRPr="00556E50">
        <w:rPr>
          <w:b/>
          <w:bCs/>
        </w:rPr>
        <w:t>Applications may be rejected where conditions of previous grants have not been met</w:t>
      </w:r>
      <w:r w:rsidRPr="00556E50">
        <w:t>, including non-submission of evaluation forms or misuse of previous funding.</w:t>
      </w:r>
    </w:p>
    <w:p w14:paraId="10205A69" w14:textId="1A5D27D5" w:rsidR="00556E50" w:rsidRPr="00556E50" w:rsidRDefault="00556E50" w:rsidP="00A85DA1">
      <w:pPr>
        <w:pStyle w:val="Heading1"/>
      </w:pPr>
      <w:r w:rsidRPr="00556E50">
        <w:t>Publicity Requirements</w:t>
      </w:r>
    </w:p>
    <w:p w14:paraId="44392897" w14:textId="77777777" w:rsidR="00556E50" w:rsidRPr="00556E50" w:rsidRDefault="00556E50" w:rsidP="00556E50">
      <w:r w:rsidRPr="00556E50">
        <w:rPr>
          <w:b/>
          <w:bCs/>
        </w:rPr>
        <w:t>All grant recipients must:</w:t>
      </w:r>
    </w:p>
    <w:p w14:paraId="5FD6F668" w14:textId="77777777" w:rsidR="00556E50" w:rsidRPr="00556E50" w:rsidRDefault="00556E50" w:rsidP="00556E50">
      <w:pPr>
        <w:numPr>
          <w:ilvl w:val="0"/>
          <w:numId w:val="21"/>
        </w:numPr>
      </w:pPr>
      <w:r w:rsidRPr="00556E50">
        <w:t>Display Council logo on all promotional materials</w:t>
      </w:r>
    </w:p>
    <w:p w14:paraId="54B7CD8B" w14:textId="77777777" w:rsidR="00556E50" w:rsidRPr="00556E50" w:rsidRDefault="00556E50" w:rsidP="00556E50">
      <w:pPr>
        <w:numPr>
          <w:ilvl w:val="0"/>
          <w:numId w:val="21"/>
        </w:numPr>
      </w:pPr>
      <w:r w:rsidRPr="00556E50">
        <w:t>Credit the Council in press releases, websites, and social media</w:t>
      </w:r>
    </w:p>
    <w:p w14:paraId="2A553E91" w14:textId="77777777" w:rsidR="00556E50" w:rsidRPr="00556E50" w:rsidRDefault="00556E50" w:rsidP="00556E50">
      <w:pPr>
        <w:numPr>
          <w:ilvl w:val="0"/>
          <w:numId w:val="21"/>
        </w:numPr>
      </w:pPr>
      <w:r w:rsidRPr="00556E50">
        <w:t>Provide evidence of publicity credit in evaluation form</w:t>
      </w:r>
    </w:p>
    <w:p w14:paraId="234DF7D3" w14:textId="77777777" w:rsidR="00556E50" w:rsidRPr="00556E50" w:rsidRDefault="00556E50" w:rsidP="00556E50">
      <w:pPr>
        <w:numPr>
          <w:ilvl w:val="0"/>
          <w:numId w:val="21"/>
        </w:numPr>
      </w:pPr>
      <w:r w:rsidRPr="00556E50">
        <w:t>Assist with Council publicity including photo opportunities</w:t>
      </w:r>
    </w:p>
    <w:p w14:paraId="22DD4F24" w14:textId="5457C8DD" w:rsidR="00556E50" w:rsidRPr="00556E50" w:rsidRDefault="00556E50" w:rsidP="00556E50">
      <w:r w:rsidRPr="00556E50">
        <w:rPr>
          <w:b/>
          <w:bCs/>
        </w:rPr>
        <w:t>Important</w:t>
      </w:r>
      <w:r w:rsidRPr="00556E50">
        <w:t>: Council meeting papers are public documents - avoid including personal sensitive or commercially sensitive information in reports.</w:t>
      </w:r>
    </w:p>
    <w:p w14:paraId="1F31D24D" w14:textId="07CF5A8A" w:rsidR="00556E50" w:rsidRPr="00556E50" w:rsidRDefault="00556E50" w:rsidP="00A85DA1">
      <w:pPr>
        <w:pStyle w:val="Heading1"/>
      </w:pPr>
      <w:r w:rsidRPr="00556E50">
        <w:t>Equality and Diversity Commitment</w:t>
      </w:r>
    </w:p>
    <w:p w14:paraId="555D981E" w14:textId="77777777" w:rsidR="00556E50" w:rsidRPr="00556E50" w:rsidRDefault="00556E50" w:rsidP="00556E50">
      <w:r w:rsidRPr="00556E50">
        <w:t>The Council actively promotes equality and diversity in grant allocation, in accordance with the Public Sector Equality Duty 2022. We:</w:t>
      </w:r>
    </w:p>
    <w:p w14:paraId="02A1ABAE" w14:textId="77777777" w:rsidR="00556E50" w:rsidRPr="00556E50" w:rsidRDefault="00556E50" w:rsidP="00556E50">
      <w:pPr>
        <w:numPr>
          <w:ilvl w:val="0"/>
          <w:numId w:val="22"/>
        </w:numPr>
      </w:pPr>
      <w:r w:rsidRPr="00556E50">
        <w:t>Ensure transparent, fair, and accessible application processes</w:t>
      </w:r>
    </w:p>
    <w:p w14:paraId="0F43D5E1" w14:textId="77777777" w:rsidR="00556E50" w:rsidRPr="00556E50" w:rsidRDefault="00556E50" w:rsidP="00556E50">
      <w:pPr>
        <w:numPr>
          <w:ilvl w:val="0"/>
          <w:numId w:val="22"/>
        </w:numPr>
      </w:pPr>
      <w:r w:rsidRPr="00556E50">
        <w:t>Encourage applications from underrepresented communities</w:t>
      </w:r>
    </w:p>
    <w:p w14:paraId="3870DDE6" w14:textId="77777777" w:rsidR="00556E50" w:rsidRPr="00556E50" w:rsidRDefault="00556E50" w:rsidP="00556E50">
      <w:pPr>
        <w:numPr>
          <w:ilvl w:val="0"/>
          <w:numId w:val="22"/>
        </w:numPr>
      </w:pPr>
      <w:r w:rsidRPr="00556E50">
        <w:t>Conduct unbiased assessment procedures</w:t>
      </w:r>
    </w:p>
    <w:p w14:paraId="5CFDA422" w14:textId="77777777" w:rsidR="00556E50" w:rsidRPr="00556E50" w:rsidRDefault="00556E50" w:rsidP="00556E50">
      <w:pPr>
        <w:numPr>
          <w:ilvl w:val="0"/>
          <w:numId w:val="22"/>
        </w:numPr>
      </w:pPr>
      <w:r w:rsidRPr="00556E50">
        <w:t>Monitor impact on equality and inclusion</w:t>
      </w:r>
    </w:p>
    <w:p w14:paraId="098E958E" w14:textId="77777777" w:rsidR="00556E50" w:rsidRPr="00556E50" w:rsidRDefault="00556E50" w:rsidP="00556E50">
      <w:pPr>
        <w:numPr>
          <w:ilvl w:val="0"/>
          <w:numId w:val="22"/>
        </w:numPr>
      </w:pPr>
      <w:r w:rsidRPr="00556E50">
        <w:lastRenderedPageBreak/>
        <w:t>Provide support to groups needing assistance with applications</w:t>
      </w:r>
    </w:p>
    <w:p w14:paraId="3E0C1CF6" w14:textId="204CB3E6" w:rsidR="00556E50" w:rsidRPr="00556E50" w:rsidRDefault="00556E50" w:rsidP="00A85DA1">
      <w:pPr>
        <w:pStyle w:val="Heading1"/>
      </w:pPr>
      <w:r w:rsidRPr="00556E50">
        <w:t>Data Protection</w:t>
      </w:r>
    </w:p>
    <w:p w14:paraId="71BFE1EE" w14:textId="77777777" w:rsidR="00556E50" w:rsidRPr="00556E50" w:rsidRDefault="00556E50" w:rsidP="00556E50">
      <w:r w:rsidRPr="00556E50">
        <w:t>Personal data will be processed in accordance with GDPR for grant assessment and administration purposes only. Data will not be shared with third parties without consent, except where required by law. Contact the Executive Officer regarding data protection queries.</w:t>
      </w:r>
    </w:p>
    <w:p w14:paraId="694B5C1F" w14:textId="155D23F9" w:rsidR="00556E50" w:rsidRPr="00556E50" w:rsidRDefault="00556E50" w:rsidP="00A85DA1">
      <w:pPr>
        <w:pStyle w:val="Heading1"/>
      </w:pPr>
      <w:r w:rsidRPr="00556E50">
        <w:t>Contact Information</w:t>
      </w:r>
    </w:p>
    <w:p w14:paraId="0B1A0A6D" w14:textId="501159DD" w:rsidR="00556E50" w:rsidRDefault="00556E50" w:rsidP="00556E50">
      <w:r w:rsidRPr="00556E50">
        <w:t>For application forms, guidance, or queries contact:</w:t>
      </w:r>
      <w:r>
        <w:t xml:space="preserve"> </w:t>
      </w:r>
      <w:r w:rsidRPr="00556E50">
        <w:t xml:space="preserve">Ashington Town Council </w:t>
      </w:r>
      <w:hyperlink r:id="rId7" w:history="1">
        <w:r w:rsidRPr="00CD3852">
          <w:rPr>
            <w:rStyle w:val="Hyperlink"/>
          </w:rPr>
          <w:t>admin@ashingtontowncouncil.gov.uk</w:t>
        </w:r>
      </w:hyperlink>
      <w:r>
        <w:t xml:space="preserve"> or telephone (01670) 624521.</w:t>
      </w:r>
    </w:p>
    <w:p w14:paraId="59C7D970" w14:textId="617A659A" w:rsidR="00C868EA" w:rsidRDefault="00D37BC9" w:rsidP="00A85DA1">
      <w:pPr>
        <w:pStyle w:val="Heading1"/>
      </w:pPr>
      <w:r>
        <w:t>Appeals Process</w:t>
      </w:r>
    </w:p>
    <w:p w14:paraId="4A948AF7" w14:textId="56D15762" w:rsidR="0046064F" w:rsidRDefault="00D37BC9" w:rsidP="0070646F">
      <w:r w:rsidRPr="00D37BC9">
        <w:t>The Council’s decision is final, but unsuccessful applicants may request feedback. Appeals will only be considered on the grounds of procedural error</w:t>
      </w:r>
      <w:r>
        <w:t>.</w:t>
      </w:r>
    </w:p>
    <w:p w14:paraId="20445AB8" w14:textId="77777777" w:rsidR="0046064F" w:rsidRDefault="0046064F">
      <w:pPr>
        <w:rPr>
          <w:rFonts w:eastAsiaTheme="majorEastAsia" w:cstheme="majorBidi"/>
          <w:b/>
          <w:szCs w:val="40"/>
        </w:rPr>
      </w:pPr>
      <w:r>
        <w:br w:type="page"/>
      </w:r>
    </w:p>
    <w:p w14:paraId="7518E528" w14:textId="21289EB1" w:rsidR="0046064F" w:rsidRPr="0046064F" w:rsidRDefault="0046064F" w:rsidP="00A85DA1">
      <w:pPr>
        <w:pStyle w:val="Heading1"/>
        <w:numPr>
          <w:ilvl w:val="0"/>
          <w:numId w:val="0"/>
        </w:numPr>
      </w:pPr>
      <w:r>
        <w:lastRenderedPageBreak/>
        <w:t xml:space="preserve">APPENDIX A - </w:t>
      </w:r>
      <w:r w:rsidRPr="0046064F">
        <w:t>Application Assessment Scoring Matrix</w:t>
      </w:r>
    </w:p>
    <w:p w14:paraId="571C320E" w14:textId="77777777" w:rsidR="0046064F" w:rsidRPr="0046064F" w:rsidRDefault="0046064F" w:rsidP="0046064F">
      <w:r w:rsidRPr="0046064F">
        <w:t xml:space="preserve">Each application will be scored out of </w:t>
      </w:r>
      <w:r w:rsidRPr="0046064F">
        <w:rPr>
          <w:b/>
          <w:bCs/>
        </w:rPr>
        <w:t>100 points</w:t>
      </w:r>
      <w:r w:rsidRPr="0046064F">
        <w:t>, across six weighted criteria:</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943"/>
        <w:gridCol w:w="1407"/>
        <w:gridCol w:w="4666"/>
      </w:tblGrid>
      <w:tr w:rsidR="0046064F" w:rsidRPr="0046064F" w14:paraId="5F245FC4" w14:textId="77777777" w:rsidTr="0046064F">
        <w:trPr>
          <w:tblHeader/>
          <w:tblCellSpacing w:w="15" w:type="dxa"/>
        </w:trPr>
        <w:tc>
          <w:tcPr>
            <w:tcW w:w="0" w:type="auto"/>
            <w:vAlign w:val="center"/>
            <w:hideMark/>
          </w:tcPr>
          <w:p w14:paraId="6FB92D1B" w14:textId="77777777" w:rsidR="0046064F" w:rsidRPr="0046064F" w:rsidRDefault="0046064F" w:rsidP="0046064F">
            <w:pPr>
              <w:rPr>
                <w:b/>
                <w:bCs/>
              </w:rPr>
            </w:pPr>
            <w:r w:rsidRPr="0046064F">
              <w:rPr>
                <w:b/>
                <w:bCs/>
              </w:rPr>
              <w:t>Assessment Area</w:t>
            </w:r>
          </w:p>
        </w:tc>
        <w:tc>
          <w:tcPr>
            <w:tcW w:w="0" w:type="auto"/>
            <w:vAlign w:val="center"/>
            <w:hideMark/>
          </w:tcPr>
          <w:p w14:paraId="2E0465D6" w14:textId="77777777" w:rsidR="0046064F" w:rsidRPr="0046064F" w:rsidRDefault="0046064F" w:rsidP="0046064F">
            <w:pPr>
              <w:rPr>
                <w:b/>
                <w:bCs/>
              </w:rPr>
            </w:pPr>
            <w:r w:rsidRPr="0046064F">
              <w:rPr>
                <w:b/>
                <w:bCs/>
              </w:rPr>
              <w:t>Points Available</w:t>
            </w:r>
          </w:p>
        </w:tc>
        <w:tc>
          <w:tcPr>
            <w:tcW w:w="0" w:type="auto"/>
            <w:vAlign w:val="center"/>
            <w:hideMark/>
          </w:tcPr>
          <w:p w14:paraId="79C3947C" w14:textId="77777777" w:rsidR="0046064F" w:rsidRPr="0046064F" w:rsidRDefault="0046064F" w:rsidP="0046064F">
            <w:pPr>
              <w:rPr>
                <w:b/>
                <w:bCs/>
              </w:rPr>
            </w:pPr>
            <w:r w:rsidRPr="0046064F">
              <w:rPr>
                <w:b/>
                <w:bCs/>
              </w:rPr>
              <w:t>Assessment Considerations</w:t>
            </w:r>
          </w:p>
        </w:tc>
      </w:tr>
      <w:tr w:rsidR="0046064F" w:rsidRPr="0046064F" w14:paraId="7C2BBD74" w14:textId="77777777" w:rsidTr="0046064F">
        <w:trPr>
          <w:tblCellSpacing w:w="15" w:type="dxa"/>
        </w:trPr>
        <w:tc>
          <w:tcPr>
            <w:tcW w:w="0" w:type="auto"/>
            <w:vAlign w:val="center"/>
            <w:hideMark/>
          </w:tcPr>
          <w:p w14:paraId="117AD2D3" w14:textId="77777777" w:rsidR="0046064F" w:rsidRPr="0046064F" w:rsidRDefault="0046064F" w:rsidP="0046064F">
            <w:r w:rsidRPr="0046064F">
              <w:rPr>
                <w:b/>
                <w:bCs/>
              </w:rPr>
              <w:t>1. Benefit to Ashington Residents</w:t>
            </w:r>
          </w:p>
        </w:tc>
        <w:tc>
          <w:tcPr>
            <w:tcW w:w="0" w:type="auto"/>
            <w:vAlign w:val="center"/>
            <w:hideMark/>
          </w:tcPr>
          <w:p w14:paraId="2FF69C5B" w14:textId="77777777" w:rsidR="0046064F" w:rsidRPr="0046064F" w:rsidRDefault="0046064F" w:rsidP="0046064F">
            <w:r w:rsidRPr="0046064F">
              <w:t>20</w:t>
            </w:r>
          </w:p>
        </w:tc>
        <w:tc>
          <w:tcPr>
            <w:tcW w:w="0" w:type="auto"/>
            <w:vAlign w:val="center"/>
            <w:hideMark/>
          </w:tcPr>
          <w:p w14:paraId="22D90F46" w14:textId="77777777" w:rsidR="0046064F" w:rsidRPr="0046064F" w:rsidRDefault="0046064F" w:rsidP="0046064F">
            <w:r w:rsidRPr="0046064F">
              <w:t>Who benefits? How many? Are outcomes clearly defined and local in focus?</w:t>
            </w:r>
          </w:p>
        </w:tc>
      </w:tr>
      <w:tr w:rsidR="0046064F" w:rsidRPr="0046064F" w14:paraId="026CC1D4" w14:textId="77777777" w:rsidTr="0046064F">
        <w:trPr>
          <w:tblCellSpacing w:w="15" w:type="dxa"/>
        </w:trPr>
        <w:tc>
          <w:tcPr>
            <w:tcW w:w="0" w:type="auto"/>
            <w:vAlign w:val="center"/>
            <w:hideMark/>
          </w:tcPr>
          <w:p w14:paraId="351000DB" w14:textId="77777777" w:rsidR="0046064F" w:rsidRPr="0046064F" w:rsidRDefault="0046064F" w:rsidP="0046064F">
            <w:r w:rsidRPr="0046064F">
              <w:rPr>
                <w:b/>
                <w:bCs/>
              </w:rPr>
              <w:t>2. Alignment with Council Priorities</w:t>
            </w:r>
          </w:p>
        </w:tc>
        <w:tc>
          <w:tcPr>
            <w:tcW w:w="0" w:type="auto"/>
            <w:vAlign w:val="center"/>
            <w:hideMark/>
          </w:tcPr>
          <w:p w14:paraId="41FD92D2" w14:textId="77777777" w:rsidR="0046064F" w:rsidRPr="0046064F" w:rsidRDefault="0046064F" w:rsidP="0046064F">
            <w:r w:rsidRPr="0046064F">
              <w:t>20</w:t>
            </w:r>
          </w:p>
        </w:tc>
        <w:tc>
          <w:tcPr>
            <w:tcW w:w="0" w:type="auto"/>
            <w:vAlign w:val="center"/>
            <w:hideMark/>
          </w:tcPr>
          <w:p w14:paraId="37F66425" w14:textId="1EB7AA9B" w:rsidR="0046064F" w:rsidRPr="0046064F" w:rsidRDefault="0046064F" w:rsidP="0046064F">
            <w:r w:rsidRPr="0046064F">
              <w:t>How well does the project support Council aims?</w:t>
            </w:r>
          </w:p>
        </w:tc>
      </w:tr>
      <w:tr w:rsidR="0046064F" w:rsidRPr="0046064F" w14:paraId="5DB5EAD7" w14:textId="77777777" w:rsidTr="0046064F">
        <w:trPr>
          <w:tblCellSpacing w:w="15" w:type="dxa"/>
        </w:trPr>
        <w:tc>
          <w:tcPr>
            <w:tcW w:w="0" w:type="auto"/>
            <w:vAlign w:val="center"/>
            <w:hideMark/>
          </w:tcPr>
          <w:p w14:paraId="21548216" w14:textId="77777777" w:rsidR="0046064F" w:rsidRPr="0046064F" w:rsidRDefault="0046064F" w:rsidP="0046064F">
            <w:r w:rsidRPr="0046064F">
              <w:rPr>
                <w:b/>
                <w:bCs/>
              </w:rPr>
              <w:t>3. Financial Need and Value for Money</w:t>
            </w:r>
          </w:p>
        </w:tc>
        <w:tc>
          <w:tcPr>
            <w:tcW w:w="0" w:type="auto"/>
            <w:vAlign w:val="center"/>
            <w:hideMark/>
          </w:tcPr>
          <w:p w14:paraId="420F55F1" w14:textId="77777777" w:rsidR="0046064F" w:rsidRPr="0046064F" w:rsidRDefault="0046064F" w:rsidP="0046064F">
            <w:r w:rsidRPr="0046064F">
              <w:t>15</w:t>
            </w:r>
          </w:p>
        </w:tc>
        <w:tc>
          <w:tcPr>
            <w:tcW w:w="0" w:type="auto"/>
            <w:vAlign w:val="center"/>
            <w:hideMark/>
          </w:tcPr>
          <w:p w14:paraId="6160E81F" w14:textId="77777777" w:rsidR="0046064F" w:rsidRPr="0046064F" w:rsidRDefault="0046064F" w:rsidP="0046064F">
            <w:r w:rsidRPr="0046064F">
              <w:t>Is the grant essential? Are costs reasonable and proportionate?</w:t>
            </w:r>
          </w:p>
        </w:tc>
      </w:tr>
      <w:tr w:rsidR="0046064F" w:rsidRPr="0046064F" w14:paraId="7EC89BEF" w14:textId="77777777" w:rsidTr="0046064F">
        <w:trPr>
          <w:tblCellSpacing w:w="15" w:type="dxa"/>
        </w:trPr>
        <w:tc>
          <w:tcPr>
            <w:tcW w:w="0" w:type="auto"/>
            <w:vAlign w:val="center"/>
            <w:hideMark/>
          </w:tcPr>
          <w:p w14:paraId="26FF246E" w14:textId="77777777" w:rsidR="0046064F" w:rsidRPr="0046064F" w:rsidRDefault="0046064F" w:rsidP="0046064F">
            <w:r w:rsidRPr="0046064F">
              <w:rPr>
                <w:b/>
                <w:bCs/>
              </w:rPr>
              <w:t>4. Match Funding and Sustainability</w:t>
            </w:r>
          </w:p>
        </w:tc>
        <w:tc>
          <w:tcPr>
            <w:tcW w:w="0" w:type="auto"/>
            <w:vAlign w:val="center"/>
            <w:hideMark/>
          </w:tcPr>
          <w:p w14:paraId="25256023" w14:textId="77777777" w:rsidR="0046064F" w:rsidRPr="0046064F" w:rsidRDefault="0046064F" w:rsidP="0046064F">
            <w:r w:rsidRPr="0046064F">
              <w:t>15</w:t>
            </w:r>
          </w:p>
        </w:tc>
        <w:tc>
          <w:tcPr>
            <w:tcW w:w="0" w:type="auto"/>
            <w:vAlign w:val="center"/>
            <w:hideMark/>
          </w:tcPr>
          <w:p w14:paraId="25E5DFD4" w14:textId="77777777" w:rsidR="0046064F" w:rsidRPr="0046064F" w:rsidRDefault="0046064F" w:rsidP="0046064F">
            <w:r w:rsidRPr="0046064F">
              <w:t>Are other sources of funding secured or pursued? Is there a plan for longer-term viability?</w:t>
            </w:r>
          </w:p>
        </w:tc>
      </w:tr>
      <w:tr w:rsidR="0046064F" w:rsidRPr="0046064F" w14:paraId="6EC6631A" w14:textId="77777777" w:rsidTr="0046064F">
        <w:trPr>
          <w:tblCellSpacing w:w="15" w:type="dxa"/>
        </w:trPr>
        <w:tc>
          <w:tcPr>
            <w:tcW w:w="0" w:type="auto"/>
            <w:vAlign w:val="center"/>
            <w:hideMark/>
          </w:tcPr>
          <w:p w14:paraId="71130A72" w14:textId="77777777" w:rsidR="0046064F" w:rsidRPr="0046064F" w:rsidRDefault="0046064F" w:rsidP="0046064F">
            <w:r w:rsidRPr="0046064F">
              <w:rPr>
                <w:b/>
                <w:bCs/>
              </w:rPr>
              <w:t>5. Project Planning and Deliverability</w:t>
            </w:r>
          </w:p>
        </w:tc>
        <w:tc>
          <w:tcPr>
            <w:tcW w:w="0" w:type="auto"/>
            <w:vAlign w:val="center"/>
            <w:hideMark/>
          </w:tcPr>
          <w:p w14:paraId="0284A38A" w14:textId="77777777" w:rsidR="0046064F" w:rsidRPr="0046064F" w:rsidRDefault="0046064F" w:rsidP="0046064F">
            <w:r w:rsidRPr="0046064F">
              <w:t>15</w:t>
            </w:r>
          </w:p>
        </w:tc>
        <w:tc>
          <w:tcPr>
            <w:tcW w:w="0" w:type="auto"/>
            <w:vAlign w:val="center"/>
            <w:hideMark/>
          </w:tcPr>
          <w:p w14:paraId="35829CCE" w14:textId="77777777" w:rsidR="0046064F" w:rsidRPr="0046064F" w:rsidRDefault="0046064F" w:rsidP="0046064F">
            <w:r w:rsidRPr="0046064F">
              <w:t>Are timelines, roles, and milestones clear and realistic?</w:t>
            </w:r>
          </w:p>
        </w:tc>
      </w:tr>
      <w:tr w:rsidR="0046064F" w:rsidRPr="0046064F" w14:paraId="70409E6F" w14:textId="77777777" w:rsidTr="0046064F">
        <w:trPr>
          <w:tblCellSpacing w:w="15" w:type="dxa"/>
        </w:trPr>
        <w:tc>
          <w:tcPr>
            <w:tcW w:w="0" w:type="auto"/>
            <w:vAlign w:val="center"/>
            <w:hideMark/>
          </w:tcPr>
          <w:p w14:paraId="4BD4CC3D" w14:textId="77777777" w:rsidR="0046064F" w:rsidRPr="0046064F" w:rsidRDefault="0046064F" w:rsidP="0046064F">
            <w:r w:rsidRPr="0046064F">
              <w:rPr>
                <w:b/>
                <w:bCs/>
              </w:rPr>
              <w:t>6. Organisational Capacity and Governance</w:t>
            </w:r>
          </w:p>
        </w:tc>
        <w:tc>
          <w:tcPr>
            <w:tcW w:w="0" w:type="auto"/>
            <w:vAlign w:val="center"/>
            <w:hideMark/>
          </w:tcPr>
          <w:p w14:paraId="3DAC1A4D" w14:textId="77777777" w:rsidR="0046064F" w:rsidRPr="0046064F" w:rsidRDefault="0046064F" w:rsidP="0046064F">
            <w:r w:rsidRPr="0046064F">
              <w:t>15</w:t>
            </w:r>
          </w:p>
        </w:tc>
        <w:tc>
          <w:tcPr>
            <w:tcW w:w="0" w:type="auto"/>
            <w:vAlign w:val="center"/>
            <w:hideMark/>
          </w:tcPr>
          <w:p w14:paraId="0E79C328" w14:textId="77777777" w:rsidR="0046064F" w:rsidRPr="0046064F" w:rsidRDefault="0046064F" w:rsidP="0046064F">
            <w:r w:rsidRPr="0046064F">
              <w:t>Is the organisation well-managed and compliant? Are key policies and documents in place?</w:t>
            </w:r>
          </w:p>
        </w:tc>
      </w:tr>
    </w:tbl>
    <w:p w14:paraId="7A0AFE68" w14:textId="77777777" w:rsidR="0046064F" w:rsidRPr="0046064F" w:rsidRDefault="0046064F" w:rsidP="0046064F">
      <w:r w:rsidRPr="0046064F">
        <w:rPr>
          <w:b/>
          <w:bCs/>
        </w:rPr>
        <w:t>Total: 100 Points</w:t>
      </w:r>
    </w:p>
    <w:p w14:paraId="12CEE62D" w14:textId="31883673" w:rsidR="00A85DA1" w:rsidRDefault="0046064F" w:rsidP="0046064F">
      <w:r w:rsidRPr="0046064F">
        <w:t xml:space="preserve">A minimum threshold of </w:t>
      </w:r>
      <w:r w:rsidRPr="0046064F">
        <w:rPr>
          <w:b/>
          <w:bCs/>
        </w:rPr>
        <w:t>60 points</w:t>
      </w:r>
      <w:r w:rsidRPr="0046064F">
        <w:t xml:space="preserve"> is recommended for funding consideration, subject to available budget and strategic fit.</w:t>
      </w:r>
    </w:p>
    <w:p w14:paraId="519DAB4C" w14:textId="77777777" w:rsidR="00A85DA1" w:rsidRDefault="00A85DA1">
      <w:r>
        <w:br w:type="page"/>
      </w:r>
    </w:p>
    <w:p w14:paraId="63FA0724" w14:textId="77777777" w:rsidR="00A85DA1" w:rsidRPr="00A85DA1" w:rsidRDefault="00A85DA1" w:rsidP="00A85DA1">
      <w:pPr>
        <w:pStyle w:val="Heading1"/>
        <w:numPr>
          <w:ilvl w:val="0"/>
          <w:numId w:val="0"/>
        </w:numPr>
      </w:pPr>
      <w:r w:rsidRPr="00A85DA1">
        <w:lastRenderedPageBreak/>
        <w:t>Appendix B: Frequently Asked Questions (FAQs)</w:t>
      </w:r>
    </w:p>
    <w:p w14:paraId="09F0D77C" w14:textId="77777777" w:rsidR="00A85DA1" w:rsidRPr="00A85DA1" w:rsidRDefault="00A85DA1" w:rsidP="00A85DA1">
      <w:pPr>
        <w:rPr>
          <w:b/>
          <w:bCs/>
        </w:rPr>
      </w:pPr>
      <w:r w:rsidRPr="00A85DA1">
        <w:rPr>
          <w:b/>
          <w:bCs/>
        </w:rPr>
        <w:t>1. Who can apply for a grant from Ashington Town Council?</w:t>
      </w:r>
    </w:p>
    <w:p w14:paraId="778756A2" w14:textId="77777777" w:rsidR="00A85DA1" w:rsidRPr="00A85DA1" w:rsidRDefault="00A85DA1" w:rsidP="00A85DA1">
      <w:r w:rsidRPr="00A85DA1">
        <w:t>Local voluntary, community, and not-for-profit organisations based in Ashington, providing activities or services that directly benefit Ashington residents.</w:t>
      </w:r>
    </w:p>
    <w:p w14:paraId="6B467A0A" w14:textId="77777777" w:rsidR="00A85DA1" w:rsidRPr="00A85DA1" w:rsidRDefault="00A85DA1" w:rsidP="00A85DA1">
      <w:pPr>
        <w:rPr>
          <w:b/>
          <w:bCs/>
        </w:rPr>
      </w:pPr>
      <w:r w:rsidRPr="00A85DA1">
        <w:rPr>
          <w:b/>
          <w:bCs/>
        </w:rPr>
        <w:t>2. Can we apply if we are based outside of Ashington?</w:t>
      </w:r>
    </w:p>
    <w:p w14:paraId="09C4BA16" w14:textId="77777777" w:rsidR="00A85DA1" w:rsidRPr="00A85DA1" w:rsidRDefault="00A85DA1" w:rsidP="00A85DA1">
      <w:r w:rsidRPr="00A85DA1">
        <w:t>No. Only organisations based in Ashington and primarily serving Ashington residents are eligible.</w:t>
      </w:r>
    </w:p>
    <w:p w14:paraId="7FC6EC4B" w14:textId="77777777" w:rsidR="00A85DA1" w:rsidRPr="00A85DA1" w:rsidRDefault="00A85DA1" w:rsidP="00A85DA1">
      <w:pPr>
        <w:rPr>
          <w:b/>
          <w:bCs/>
        </w:rPr>
      </w:pPr>
      <w:r w:rsidRPr="00A85DA1">
        <w:rPr>
          <w:b/>
          <w:bCs/>
        </w:rPr>
        <w:t>3. What is the maximum grant we can apply for?</w:t>
      </w:r>
    </w:p>
    <w:p w14:paraId="0D64084A" w14:textId="77777777" w:rsidR="00A85DA1" w:rsidRPr="00A85DA1" w:rsidRDefault="00A85DA1" w:rsidP="00A85DA1">
      <w:r w:rsidRPr="00A85DA1">
        <w:t xml:space="preserve">You can apply for up to </w:t>
      </w:r>
      <w:r w:rsidRPr="00A85DA1">
        <w:rPr>
          <w:b/>
          <w:bCs/>
        </w:rPr>
        <w:t>£5,000</w:t>
      </w:r>
      <w:r w:rsidRPr="00A85DA1">
        <w:t xml:space="preserve"> per financial year. The Council reserves the right to award partial amounts based on assessment outcomes.</w:t>
      </w:r>
    </w:p>
    <w:p w14:paraId="4EC31563" w14:textId="77777777" w:rsidR="00A85DA1" w:rsidRPr="00A85DA1" w:rsidRDefault="00A85DA1" w:rsidP="00A85DA1">
      <w:pPr>
        <w:rPr>
          <w:b/>
          <w:bCs/>
        </w:rPr>
      </w:pPr>
      <w:r w:rsidRPr="00A85DA1">
        <w:rPr>
          <w:b/>
          <w:bCs/>
        </w:rPr>
        <w:t>4. Is there a minimum amount we can apply for?</w:t>
      </w:r>
    </w:p>
    <w:p w14:paraId="2D1864E3" w14:textId="33BDE175" w:rsidR="00A85DA1" w:rsidRPr="00A85DA1" w:rsidRDefault="00A85DA1" w:rsidP="00A85DA1">
      <w:r w:rsidRPr="00A85DA1">
        <w:t>There is no formal minimum, and smaller applications are welcomed — particularly where a modest award can make a significant impact.</w:t>
      </w:r>
      <w:r w:rsidR="002575CB">
        <w:t xml:space="preserve"> However, we also have small grants throughout the year of £</w:t>
      </w:r>
      <w:r w:rsidR="007E1B49">
        <w:t>500 or less.</w:t>
      </w:r>
    </w:p>
    <w:p w14:paraId="72FCEF50" w14:textId="77777777" w:rsidR="00A85DA1" w:rsidRPr="00A85DA1" w:rsidRDefault="00A85DA1" w:rsidP="00A85DA1">
      <w:pPr>
        <w:rPr>
          <w:b/>
          <w:bCs/>
        </w:rPr>
      </w:pPr>
      <w:r w:rsidRPr="00A85DA1">
        <w:rPr>
          <w:b/>
          <w:bCs/>
        </w:rPr>
        <w:t>5. Can we apply for both project and running costs?</w:t>
      </w:r>
    </w:p>
    <w:p w14:paraId="6C75B5F6" w14:textId="77777777" w:rsidR="00A85DA1" w:rsidRPr="00A85DA1" w:rsidRDefault="00A85DA1" w:rsidP="00A85DA1">
      <w:r w:rsidRPr="00A85DA1">
        <w:t>Yes. You can apply for project-specific costs, running costs (such as rent, staffing, utilities), or a combination of both, as long as it’s clearly explained in your application.</w:t>
      </w:r>
    </w:p>
    <w:p w14:paraId="7D4816B7" w14:textId="77777777" w:rsidR="00A85DA1" w:rsidRPr="00A85DA1" w:rsidRDefault="00A85DA1" w:rsidP="00A85DA1">
      <w:pPr>
        <w:rPr>
          <w:b/>
          <w:bCs/>
        </w:rPr>
      </w:pPr>
      <w:r w:rsidRPr="00A85DA1">
        <w:rPr>
          <w:b/>
          <w:bCs/>
        </w:rPr>
        <w:t>6. Can we apply for core school activities or church-based projects?</w:t>
      </w:r>
    </w:p>
    <w:p w14:paraId="519C55B4" w14:textId="77777777" w:rsidR="00A85DA1" w:rsidRPr="00A85DA1" w:rsidRDefault="00A85DA1" w:rsidP="00A85DA1">
      <w:r w:rsidRPr="00A85DA1">
        <w:t>No. Schools and religious establishments are not eligible for core funding. However, PTAs or faith-based organisations may apply for non-religious, inclusive community activities.</w:t>
      </w:r>
    </w:p>
    <w:p w14:paraId="4AF791C3" w14:textId="77777777" w:rsidR="00A85DA1" w:rsidRPr="00A85DA1" w:rsidRDefault="00A85DA1" w:rsidP="00A85DA1">
      <w:pPr>
        <w:rPr>
          <w:b/>
          <w:bCs/>
        </w:rPr>
      </w:pPr>
      <w:r w:rsidRPr="00A85DA1">
        <w:rPr>
          <w:b/>
          <w:bCs/>
        </w:rPr>
        <w:t>7. What happens after we submit our application?</w:t>
      </w:r>
    </w:p>
    <w:p w14:paraId="169FBA49" w14:textId="77777777" w:rsidR="00A85DA1" w:rsidRPr="00A85DA1" w:rsidRDefault="00A85DA1" w:rsidP="00A85DA1">
      <w:r w:rsidRPr="00A85DA1">
        <w:t>A panel of Councillors and Officers will assess all eligible applications using a scoring system (see Appendix A). Recommendations will then be made to the Finance and General Services Committee, which makes the final decision.</w:t>
      </w:r>
    </w:p>
    <w:p w14:paraId="6EC9BA5C" w14:textId="77777777" w:rsidR="00A85DA1" w:rsidRPr="00A85DA1" w:rsidRDefault="00A85DA1" w:rsidP="00A85DA1">
      <w:pPr>
        <w:rPr>
          <w:b/>
          <w:bCs/>
        </w:rPr>
      </w:pPr>
      <w:r w:rsidRPr="00A85DA1">
        <w:rPr>
          <w:b/>
          <w:bCs/>
        </w:rPr>
        <w:t>8. Can we submit more than one application per year?</w:t>
      </w:r>
    </w:p>
    <w:p w14:paraId="4BFF5B66" w14:textId="77777777" w:rsidR="00A85DA1" w:rsidRPr="00A85DA1" w:rsidRDefault="00A85DA1" w:rsidP="00A85DA1">
      <w:r w:rsidRPr="00A85DA1">
        <w:t xml:space="preserve">No. Only </w:t>
      </w:r>
      <w:r w:rsidRPr="00A85DA1">
        <w:rPr>
          <w:b/>
          <w:bCs/>
        </w:rPr>
        <w:t>one application per organisation</w:t>
      </w:r>
      <w:r w:rsidRPr="00A85DA1">
        <w:t xml:space="preserve"> will be accepted each financial year.</w:t>
      </w:r>
    </w:p>
    <w:p w14:paraId="39855FD4" w14:textId="77777777" w:rsidR="00A85DA1" w:rsidRPr="00A85DA1" w:rsidRDefault="00A85DA1" w:rsidP="00A85DA1">
      <w:pPr>
        <w:rPr>
          <w:b/>
          <w:bCs/>
        </w:rPr>
      </w:pPr>
      <w:r w:rsidRPr="00A85DA1">
        <w:rPr>
          <w:b/>
          <w:bCs/>
        </w:rPr>
        <w:t>9. Can we request funding for something we've already paid for?</w:t>
      </w:r>
    </w:p>
    <w:p w14:paraId="4CBA151E" w14:textId="77777777" w:rsidR="00A85DA1" w:rsidRPr="00A85DA1" w:rsidRDefault="00A85DA1" w:rsidP="00A85DA1">
      <w:r w:rsidRPr="00A85DA1">
        <w:t>No. Retrospective funding for projects or items already purchased will not be considered.</w:t>
      </w:r>
    </w:p>
    <w:p w14:paraId="4D9A7F69" w14:textId="77777777" w:rsidR="00A85DA1" w:rsidRPr="00A85DA1" w:rsidRDefault="00A85DA1" w:rsidP="00A85DA1">
      <w:pPr>
        <w:rPr>
          <w:b/>
          <w:bCs/>
        </w:rPr>
      </w:pPr>
      <w:r w:rsidRPr="00A85DA1">
        <w:rPr>
          <w:b/>
          <w:bCs/>
        </w:rPr>
        <w:t>10. What if we don’t have all the required policies?</w:t>
      </w:r>
    </w:p>
    <w:p w14:paraId="3B16BA68" w14:textId="5915F93D" w:rsidR="00A85DA1" w:rsidRPr="00A85DA1" w:rsidRDefault="00A85DA1" w:rsidP="00A85DA1">
      <w:r w:rsidRPr="00A85DA1">
        <w:t xml:space="preserve">Applicants are encouraged to have all listed policies in place. However, the Council can support organisations in developing these policies. Please </w:t>
      </w:r>
      <w:r w:rsidR="007E1B49">
        <w:t>contact us beforehand.</w:t>
      </w:r>
    </w:p>
    <w:p w14:paraId="207BB2A8" w14:textId="77777777" w:rsidR="00A85DA1" w:rsidRPr="00A85DA1" w:rsidRDefault="00A85DA1" w:rsidP="00A85DA1">
      <w:pPr>
        <w:rPr>
          <w:b/>
          <w:bCs/>
        </w:rPr>
      </w:pPr>
      <w:r w:rsidRPr="00A85DA1">
        <w:rPr>
          <w:b/>
          <w:bCs/>
        </w:rPr>
        <w:lastRenderedPageBreak/>
        <w:t>11. What is the reserves policy, and how does it affect our application?</w:t>
      </w:r>
    </w:p>
    <w:p w14:paraId="4481AC60" w14:textId="77777777" w:rsidR="00A85DA1" w:rsidRPr="00A85DA1" w:rsidRDefault="00A85DA1" w:rsidP="00A85DA1">
      <w:r w:rsidRPr="00A85DA1">
        <w:t xml:space="preserve">The Council will not usually fund organisations with general reserves over </w:t>
      </w:r>
      <w:r w:rsidRPr="00A85DA1">
        <w:rPr>
          <w:b/>
          <w:bCs/>
        </w:rPr>
        <w:t>30%</w:t>
      </w:r>
      <w:r w:rsidRPr="00A85DA1">
        <w:t xml:space="preserve"> of their average annual running costs. If your reserves are between 20–30%, you must clearly explain why they are held and for what purpose.</w:t>
      </w:r>
    </w:p>
    <w:p w14:paraId="581D3D86" w14:textId="77777777" w:rsidR="00A85DA1" w:rsidRPr="00A85DA1" w:rsidRDefault="00A85DA1" w:rsidP="00A85DA1">
      <w:pPr>
        <w:rPr>
          <w:b/>
          <w:bCs/>
        </w:rPr>
      </w:pPr>
      <w:r w:rsidRPr="00A85DA1">
        <w:rPr>
          <w:b/>
          <w:bCs/>
        </w:rPr>
        <w:t>12. Will we need to report back if we receive funding?</w:t>
      </w:r>
    </w:p>
    <w:p w14:paraId="74CE1BC9" w14:textId="77777777" w:rsidR="00A85DA1" w:rsidRPr="00A85DA1" w:rsidRDefault="00A85DA1" w:rsidP="00A85DA1">
      <w:r w:rsidRPr="00A85DA1">
        <w:t>Yes. All successful applicants are required to complete an evaluation form within 10 months of receiving their grant. For grants of £2,500 or more, interim reporting is required, and payments will be made in two phases.</w:t>
      </w:r>
    </w:p>
    <w:p w14:paraId="65EAC924" w14:textId="77777777" w:rsidR="00A85DA1" w:rsidRPr="00A85DA1" w:rsidRDefault="00A85DA1" w:rsidP="00A85DA1">
      <w:pPr>
        <w:rPr>
          <w:b/>
          <w:bCs/>
        </w:rPr>
      </w:pPr>
      <w:r w:rsidRPr="00A85DA1">
        <w:rPr>
          <w:b/>
          <w:bCs/>
        </w:rPr>
        <w:t>13. What happens if we don’t complete our evaluation report?</w:t>
      </w:r>
    </w:p>
    <w:p w14:paraId="7B33549F" w14:textId="77777777" w:rsidR="00A85DA1" w:rsidRPr="00A85DA1" w:rsidRDefault="00A85DA1" w:rsidP="00A85DA1">
      <w:r w:rsidRPr="00A85DA1">
        <w:t>Failure to submit required monitoring will result in:</w:t>
      </w:r>
    </w:p>
    <w:p w14:paraId="7B426333" w14:textId="77777777" w:rsidR="00A85DA1" w:rsidRPr="00A85DA1" w:rsidRDefault="00A85DA1" w:rsidP="00A85DA1">
      <w:pPr>
        <w:numPr>
          <w:ilvl w:val="0"/>
          <w:numId w:val="50"/>
        </w:numPr>
      </w:pPr>
      <w:r w:rsidRPr="00A85DA1">
        <w:t>Exclusion from future funding rounds</w:t>
      </w:r>
    </w:p>
    <w:p w14:paraId="3CE49D14" w14:textId="77777777" w:rsidR="00A85DA1" w:rsidRPr="00A85DA1" w:rsidRDefault="00A85DA1" w:rsidP="00A85DA1">
      <w:pPr>
        <w:numPr>
          <w:ilvl w:val="0"/>
          <w:numId w:val="50"/>
        </w:numPr>
      </w:pPr>
      <w:r w:rsidRPr="00A85DA1">
        <w:t>Possible repayment of the grant</w:t>
      </w:r>
    </w:p>
    <w:p w14:paraId="296AE45B" w14:textId="77777777" w:rsidR="00A85DA1" w:rsidRPr="00A85DA1" w:rsidRDefault="00A85DA1" w:rsidP="00A85DA1">
      <w:pPr>
        <w:numPr>
          <w:ilvl w:val="0"/>
          <w:numId w:val="50"/>
        </w:numPr>
      </w:pPr>
      <w:r w:rsidRPr="00A85DA1">
        <w:t>Delay or withholding of any future grant payments</w:t>
      </w:r>
    </w:p>
    <w:p w14:paraId="69136BCA" w14:textId="77777777" w:rsidR="00A85DA1" w:rsidRPr="00A85DA1" w:rsidRDefault="00A85DA1" w:rsidP="00A85DA1">
      <w:pPr>
        <w:rPr>
          <w:b/>
          <w:bCs/>
        </w:rPr>
      </w:pPr>
      <w:r w:rsidRPr="00A85DA1">
        <w:rPr>
          <w:b/>
          <w:bCs/>
        </w:rPr>
        <w:t>14. Can we appeal a decision if our application is unsuccessful?</w:t>
      </w:r>
    </w:p>
    <w:p w14:paraId="291B2436" w14:textId="77777777" w:rsidR="00A85DA1" w:rsidRPr="00A85DA1" w:rsidRDefault="00A85DA1" w:rsidP="00A85DA1">
      <w:r w:rsidRPr="00A85DA1">
        <w:t>There is no formal appeal process, but feedback can be requested. The Council’s decisions are final and based on merit, eligibility, and available budget.</w:t>
      </w:r>
    </w:p>
    <w:p w14:paraId="38B0F332" w14:textId="77777777" w:rsidR="00A85DA1" w:rsidRPr="00A85DA1" w:rsidRDefault="00A85DA1" w:rsidP="00A85DA1">
      <w:pPr>
        <w:rPr>
          <w:b/>
          <w:bCs/>
        </w:rPr>
      </w:pPr>
      <w:r w:rsidRPr="00A85DA1">
        <w:rPr>
          <w:b/>
          <w:bCs/>
        </w:rPr>
        <w:t>15. Can we contact someone for help with our application?</w:t>
      </w:r>
    </w:p>
    <w:p w14:paraId="776E9183" w14:textId="77777777" w:rsidR="00A85DA1" w:rsidRPr="00A85DA1" w:rsidRDefault="00A85DA1" w:rsidP="00A85DA1">
      <w:r w:rsidRPr="00A85DA1">
        <w:t>Yes. You are encouraged to contact the Council with any questions or for advice on completing the application form:</w:t>
      </w:r>
    </w:p>
    <w:p w14:paraId="67D15250" w14:textId="77777777" w:rsidR="00A85DA1" w:rsidRPr="00A85DA1" w:rsidRDefault="00A85DA1" w:rsidP="00A85DA1">
      <w:r w:rsidRPr="00A85DA1">
        <w:rPr>
          <w:rFonts w:ascii="Segoe UI Emoji" w:hAnsi="Segoe UI Emoji" w:cs="Segoe UI Emoji"/>
        </w:rPr>
        <w:t>📧</w:t>
      </w:r>
      <w:r w:rsidRPr="00A85DA1">
        <w:t xml:space="preserve"> </w:t>
      </w:r>
      <w:r w:rsidRPr="00A85DA1">
        <w:rPr>
          <w:b/>
          <w:bCs/>
        </w:rPr>
        <w:t>admin@ashingtontowncouncil.gov.uk</w:t>
      </w:r>
      <w:r w:rsidRPr="00A85DA1">
        <w:br/>
      </w:r>
      <w:r w:rsidRPr="00A85DA1">
        <w:rPr>
          <w:rFonts w:ascii="Segoe UI Emoji" w:hAnsi="Segoe UI Emoji" w:cs="Segoe UI Emoji"/>
        </w:rPr>
        <w:t>📞</w:t>
      </w:r>
      <w:r w:rsidRPr="00A85DA1">
        <w:t xml:space="preserve"> </w:t>
      </w:r>
      <w:r w:rsidRPr="00A85DA1">
        <w:rPr>
          <w:b/>
          <w:bCs/>
        </w:rPr>
        <w:t>(01670) 624521</w:t>
      </w:r>
    </w:p>
    <w:p w14:paraId="35CA6B6E" w14:textId="77777777" w:rsidR="0046064F" w:rsidRPr="0046064F" w:rsidRDefault="0046064F" w:rsidP="0046064F"/>
    <w:p w14:paraId="4B533EF5" w14:textId="77777777" w:rsidR="0046064F" w:rsidRPr="0046064F" w:rsidRDefault="0046064F" w:rsidP="0046064F"/>
    <w:p w14:paraId="7E80CF45" w14:textId="2CE7A9AB" w:rsidR="00556E50" w:rsidRPr="00556E50" w:rsidRDefault="00556E50" w:rsidP="005C22D8"/>
    <w:p w14:paraId="587A06E5" w14:textId="77777777" w:rsidR="00556E50" w:rsidRPr="00C23467" w:rsidRDefault="00556E50" w:rsidP="00C23467"/>
    <w:sectPr w:rsidR="00556E50" w:rsidRPr="00C23467">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7F343F" w14:textId="77777777" w:rsidR="005D2702" w:rsidRDefault="005D2702" w:rsidP="00C23467">
      <w:pPr>
        <w:spacing w:after="0" w:line="240" w:lineRule="auto"/>
      </w:pPr>
      <w:r>
        <w:separator/>
      </w:r>
    </w:p>
  </w:endnote>
  <w:endnote w:type="continuationSeparator" w:id="0">
    <w:p w14:paraId="0A13D524" w14:textId="77777777" w:rsidR="005D2702" w:rsidRDefault="005D2702" w:rsidP="00C234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3C495F" w14:textId="77777777" w:rsidR="005D2702" w:rsidRDefault="005D2702" w:rsidP="00C23467">
      <w:pPr>
        <w:spacing w:after="0" w:line="240" w:lineRule="auto"/>
      </w:pPr>
      <w:r>
        <w:separator/>
      </w:r>
    </w:p>
  </w:footnote>
  <w:footnote w:type="continuationSeparator" w:id="0">
    <w:p w14:paraId="3E52B327" w14:textId="77777777" w:rsidR="005D2702" w:rsidRDefault="005D2702" w:rsidP="00C234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E7B9BE" w14:textId="5BE4B422" w:rsidR="00C23467" w:rsidRPr="00C23467" w:rsidRDefault="00C23467" w:rsidP="00A85DA1">
    <w:pPr>
      <w:pStyle w:val="Heading1"/>
      <w:numPr>
        <w:ilvl w:val="0"/>
        <w:numId w:val="0"/>
      </w:numPr>
    </w:pPr>
    <w:bookmarkStart w:id="2" w:name="_Hlk201148614"/>
    <w:bookmarkStart w:id="3" w:name="_Hlk201148615"/>
    <w:bookmarkStart w:id="4" w:name="_Hlk201148616"/>
    <w:bookmarkStart w:id="5" w:name="_Hlk201148617"/>
    <w:r w:rsidRPr="00C23467">
      <w:t>ASHINGTON TOWN COUNCIL</w:t>
    </w:r>
    <w:r>
      <w:t xml:space="preserve"> </w:t>
    </w:r>
    <w:r w:rsidRPr="00C23467">
      <w:t xml:space="preserve">ANNUAL GRANT AID FUNDING </w:t>
    </w:r>
    <w:r>
      <w:t>2025-26</w:t>
    </w:r>
    <w:r w:rsidRPr="00C23467">
      <w:t xml:space="preserve"> </w:t>
    </w:r>
    <w:r>
      <w:t xml:space="preserve"> </w:t>
    </w:r>
    <w:r w:rsidRPr="00C23467">
      <w:t>GUIDANCE FOR APPLICANTS</w:t>
    </w:r>
    <w:bookmarkEnd w:id="2"/>
    <w:bookmarkEnd w:id="3"/>
    <w:bookmarkEnd w:id="4"/>
    <w:bookmarkEnd w:id="5"/>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73465F"/>
    <w:multiLevelType w:val="multilevel"/>
    <w:tmpl w:val="E2EAAA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1B4538"/>
    <w:multiLevelType w:val="multilevel"/>
    <w:tmpl w:val="65806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2C45D7"/>
    <w:multiLevelType w:val="multilevel"/>
    <w:tmpl w:val="01206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594099"/>
    <w:multiLevelType w:val="multilevel"/>
    <w:tmpl w:val="C01CA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F235A68"/>
    <w:multiLevelType w:val="multilevel"/>
    <w:tmpl w:val="23444A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7AB3223"/>
    <w:multiLevelType w:val="multilevel"/>
    <w:tmpl w:val="64E04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7D50A6A"/>
    <w:multiLevelType w:val="multilevel"/>
    <w:tmpl w:val="45F05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9423D8"/>
    <w:multiLevelType w:val="multilevel"/>
    <w:tmpl w:val="B24A3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91E5499"/>
    <w:multiLevelType w:val="multilevel"/>
    <w:tmpl w:val="5666F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E6406E7"/>
    <w:multiLevelType w:val="multilevel"/>
    <w:tmpl w:val="E5209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AD139F"/>
    <w:multiLevelType w:val="multilevel"/>
    <w:tmpl w:val="C772D3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121289B"/>
    <w:multiLevelType w:val="multilevel"/>
    <w:tmpl w:val="FCD2A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670423"/>
    <w:multiLevelType w:val="multilevel"/>
    <w:tmpl w:val="D1D0C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7B8685A"/>
    <w:multiLevelType w:val="multilevel"/>
    <w:tmpl w:val="16A04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A717335"/>
    <w:multiLevelType w:val="multilevel"/>
    <w:tmpl w:val="25AEE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AF40629"/>
    <w:multiLevelType w:val="hybridMultilevel"/>
    <w:tmpl w:val="19C85D86"/>
    <w:lvl w:ilvl="0" w:tplc="4588E4FE">
      <w:start w:val="1"/>
      <w:numFmt w:val="decimal"/>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BC42F09"/>
    <w:multiLevelType w:val="multilevel"/>
    <w:tmpl w:val="5CEC3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B557860"/>
    <w:multiLevelType w:val="hybridMultilevel"/>
    <w:tmpl w:val="8752EB28"/>
    <w:lvl w:ilvl="0" w:tplc="E83E44EA">
      <w:start w:val="1"/>
      <w:numFmt w:val="decimal"/>
      <w:pStyle w:val="Heading1"/>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3C554722"/>
    <w:multiLevelType w:val="multilevel"/>
    <w:tmpl w:val="525E5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C997D12"/>
    <w:multiLevelType w:val="multilevel"/>
    <w:tmpl w:val="B9241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DC611C7"/>
    <w:multiLevelType w:val="multilevel"/>
    <w:tmpl w:val="53DCA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4506A3D"/>
    <w:multiLevelType w:val="multilevel"/>
    <w:tmpl w:val="D2CEA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8C447CF"/>
    <w:multiLevelType w:val="hybridMultilevel"/>
    <w:tmpl w:val="27D0A4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9120E01"/>
    <w:multiLevelType w:val="multilevel"/>
    <w:tmpl w:val="CB4EE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D270487"/>
    <w:multiLevelType w:val="multilevel"/>
    <w:tmpl w:val="CEC87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FFF1E06"/>
    <w:multiLevelType w:val="multilevel"/>
    <w:tmpl w:val="09289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1446490"/>
    <w:multiLevelType w:val="multilevel"/>
    <w:tmpl w:val="65886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2182517"/>
    <w:multiLevelType w:val="multilevel"/>
    <w:tmpl w:val="19F8A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38E3572"/>
    <w:multiLevelType w:val="multilevel"/>
    <w:tmpl w:val="4C1C2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74541AF"/>
    <w:multiLevelType w:val="multilevel"/>
    <w:tmpl w:val="54B28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A290F69"/>
    <w:multiLevelType w:val="multilevel"/>
    <w:tmpl w:val="B86EE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CAE3903"/>
    <w:multiLevelType w:val="multilevel"/>
    <w:tmpl w:val="AD587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1E25AE5"/>
    <w:multiLevelType w:val="multilevel"/>
    <w:tmpl w:val="8BD60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37A0A8D"/>
    <w:multiLevelType w:val="multilevel"/>
    <w:tmpl w:val="E056BC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44D25D1"/>
    <w:multiLevelType w:val="multilevel"/>
    <w:tmpl w:val="0764FA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8596B7F"/>
    <w:multiLevelType w:val="multilevel"/>
    <w:tmpl w:val="7B96B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9A825DE"/>
    <w:multiLevelType w:val="multilevel"/>
    <w:tmpl w:val="B99C1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CB07375"/>
    <w:multiLevelType w:val="multilevel"/>
    <w:tmpl w:val="320A0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DFC2406"/>
    <w:multiLevelType w:val="hybridMultilevel"/>
    <w:tmpl w:val="4A3445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6F8E6422"/>
    <w:multiLevelType w:val="multilevel"/>
    <w:tmpl w:val="95C2B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13C550E"/>
    <w:multiLevelType w:val="multilevel"/>
    <w:tmpl w:val="640A3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1812675"/>
    <w:multiLevelType w:val="multilevel"/>
    <w:tmpl w:val="3F66B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26A1E1B"/>
    <w:multiLevelType w:val="multilevel"/>
    <w:tmpl w:val="5CCC9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2EA4ED3"/>
    <w:multiLevelType w:val="multilevel"/>
    <w:tmpl w:val="5D6A1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5CC58BC"/>
    <w:multiLevelType w:val="multilevel"/>
    <w:tmpl w:val="EE26C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6015CA8"/>
    <w:multiLevelType w:val="multilevel"/>
    <w:tmpl w:val="E93EB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76C3459"/>
    <w:multiLevelType w:val="multilevel"/>
    <w:tmpl w:val="02560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AE900DB"/>
    <w:multiLevelType w:val="multilevel"/>
    <w:tmpl w:val="FA08C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C133A9E"/>
    <w:multiLevelType w:val="multilevel"/>
    <w:tmpl w:val="EC30B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CF35B2D"/>
    <w:multiLevelType w:val="multilevel"/>
    <w:tmpl w:val="1916A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11834024">
    <w:abstractNumId w:val="41"/>
  </w:num>
  <w:num w:numId="2" w16cid:durableId="1882210152">
    <w:abstractNumId w:val="16"/>
  </w:num>
  <w:num w:numId="3" w16cid:durableId="288516509">
    <w:abstractNumId w:val="24"/>
  </w:num>
  <w:num w:numId="4" w16cid:durableId="391121639">
    <w:abstractNumId w:val="37"/>
  </w:num>
  <w:num w:numId="5" w16cid:durableId="818497800">
    <w:abstractNumId w:val="36"/>
  </w:num>
  <w:num w:numId="6" w16cid:durableId="2072386740">
    <w:abstractNumId w:val="39"/>
  </w:num>
  <w:num w:numId="7" w16cid:durableId="1961840511">
    <w:abstractNumId w:val="31"/>
  </w:num>
  <w:num w:numId="8" w16cid:durableId="723796627">
    <w:abstractNumId w:val="44"/>
  </w:num>
  <w:num w:numId="9" w16cid:durableId="1929191781">
    <w:abstractNumId w:val="23"/>
  </w:num>
  <w:num w:numId="10" w16cid:durableId="859047287">
    <w:abstractNumId w:val="34"/>
  </w:num>
  <w:num w:numId="11" w16cid:durableId="1055935812">
    <w:abstractNumId w:val="35"/>
  </w:num>
  <w:num w:numId="12" w16cid:durableId="1407990210">
    <w:abstractNumId w:val="42"/>
  </w:num>
  <w:num w:numId="13" w16cid:durableId="1642728639">
    <w:abstractNumId w:val="2"/>
  </w:num>
  <w:num w:numId="14" w16cid:durableId="831988018">
    <w:abstractNumId w:val="14"/>
  </w:num>
  <w:num w:numId="15" w16cid:durableId="2061977451">
    <w:abstractNumId w:val="12"/>
  </w:num>
  <w:num w:numId="16" w16cid:durableId="1444417035">
    <w:abstractNumId w:val="1"/>
  </w:num>
  <w:num w:numId="17" w16cid:durableId="1132404255">
    <w:abstractNumId w:val="43"/>
  </w:num>
  <w:num w:numId="18" w16cid:durableId="1132121">
    <w:abstractNumId w:val="19"/>
  </w:num>
  <w:num w:numId="19" w16cid:durableId="1291864712">
    <w:abstractNumId w:val="6"/>
  </w:num>
  <w:num w:numId="20" w16cid:durableId="1184585970">
    <w:abstractNumId w:val="45"/>
  </w:num>
  <w:num w:numId="21" w16cid:durableId="300576563">
    <w:abstractNumId w:val="0"/>
  </w:num>
  <w:num w:numId="22" w16cid:durableId="2144108429">
    <w:abstractNumId w:val="18"/>
  </w:num>
  <w:num w:numId="23" w16cid:durableId="1112893900">
    <w:abstractNumId w:val="9"/>
  </w:num>
  <w:num w:numId="24" w16cid:durableId="1750300789">
    <w:abstractNumId w:val="47"/>
  </w:num>
  <w:num w:numId="25" w16cid:durableId="1716077122">
    <w:abstractNumId w:val="46"/>
  </w:num>
  <w:num w:numId="26" w16cid:durableId="1633748460">
    <w:abstractNumId w:val="3"/>
  </w:num>
  <w:num w:numId="27" w16cid:durableId="1842430443">
    <w:abstractNumId w:val="26"/>
  </w:num>
  <w:num w:numId="28" w16cid:durableId="367223733">
    <w:abstractNumId w:val="8"/>
  </w:num>
  <w:num w:numId="29" w16cid:durableId="1800999670">
    <w:abstractNumId w:val="32"/>
  </w:num>
  <w:num w:numId="30" w16cid:durableId="358238818">
    <w:abstractNumId w:val="22"/>
  </w:num>
  <w:num w:numId="31" w16cid:durableId="2101873556">
    <w:abstractNumId w:val="38"/>
  </w:num>
  <w:num w:numId="32" w16cid:durableId="99954354">
    <w:abstractNumId w:val="28"/>
  </w:num>
  <w:num w:numId="33" w16cid:durableId="479663185">
    <w:abstractNumId w:val="5"/>
  </w:num>
  <w:num w:numId="34" w16cid:durableId="31227040">
    <w:abstractNumId w:val="27"/>
  </w:num>
  <w:num w:numId="35" w16cid:durableId="1722510278">
    <w:abstractNumId w:val="33"/>
  </w:num>
  <w:num w:numId="36" w16cid:durableId="1773167212">
    <w:abstractNumId w:val="20"/>
  </w:num>
  <w:num w:numId="37" w16cid:durableId="1570925196">
    <w:abstractNumId w:val="10"/>
  </w:num>
  <w:num w:numId="38" w16cid:durableId="1966424694">
    <w:abstractNumId w:val="29"/>
  </w:num>
  <w:num w:numId="39" w16cid:durableId="635529588">
    <w:abstractNumId w:val="30"/>
  </w:num>
  <w:num w:numId="40" w16cid:durableId="1848863262">
    <w:abstractNumId w:val="7"/>
  </w:num>
  <w:num w:numId="41" w16cid:durableId="1161001999">
    <w:abstractNumId w:val="21"/>
  </w:num>
  <w:num w:numId="42" w16cid:durableId="813525015">
    <w:abstractNumId w:val="4"/>
  </w:num>
  <w:num w:numId="43" w16cid:durableId="403987760">
    <w:abstractNumId w:val="48"/>
  </w:num>
  <w:num w:numId="44" w16cid:durableId="1076704967">
    <w:abstractNumId w:val="25"/>
  </w:num>
  <w:num w:numId="45" w16cid:durableId="1443306549">
    <w:abstractNumId w:val="11"/>
  </w:num>
  <w:num w:numId="46" w16cid:durableId="1065683460">
    <w:abstractNumId w:val="49"/>
  </w:num>
  <w:num w:numId="47" w16cid:durableId="538737911">
    <w:abstractNumId w:val="40"/>
  </w:num>
  <w:num w:numId="48" w16cid:durableId="1564564700">
    <w:abstractNumId w:val="17"/>
  </w:num>
  <w:num w:numId="49" w16cid:durableId="1401054298">
    <w:abstractNumId w:val="15"/>
  </w:num>
  <w:num w:numId="50" w16cid:durableId="119965834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3467"/>
    <w:rsid w:val="000F77E0"/>
    <w:rsid w:val="00117930"/>
    <w:rsid w:val="00151131"/>
    <w:rsid w:val="002575CB"/>
    <w:rsid w:val="00280D07"/>
    <w:rsid w:val="003A593C"/>
    <w:rsid w:val="003C1C29"/>
    <w:rsid w:val="003E661E"/>
    <w:rsid w:val="00412863"/>
    <w:rsid w:val="0043316C"/>
    <w:rsid w:val="0046064F"/>
    <w:rsid w:val="0049575A"/>
    <w:rsid w:val="004C04FF"/>
    <w:rsid w:val="004F247B"/>
    <w:rsid w:val="00556E50"/>
    <w:rsid w:val="005C22D8"/>
    <w:rsid w:val="005D2702"/>
    <w:rsid w:val="00645054"/>
    <w:rsid w:val="006D5D67"/>
    <w:rsid w:val="0070646F"/>
    <w:rsid w:val="007275EF"/>
    <w:rsid w:val="007800B8"/>
    <w:rsid w:val="007E1B49"/>
    <w:rsid w:val="008C56E5"/>
    <w:rsid w:val="009A3447"/>
    <w:rsid w:val="00A85DA1"/>
    <w:rsid w:val="00BA2F5B"/>
    <w:rsid w:val="00C23467"/>
    <w:rsid w:val="00C43A3E"/>
    <w:rsid w:val="00C868EA"/>
    <w:rsid w:val="00D21368"/>
    <w:rsid w:val="00D248ED"/>
    <w:rsid w:val="00D34047"/>
    <w:rsid w:val="00D37BC9"/>
    <w:rsid w:val="00E057CF"/>
    <w:rsid w:val="00EE4B3C"/>
    <w:rsid w:val="00F6132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4A5D64"/>
  <w15:chartTrackingRefBased/>
  <w15:docId w15:val="{77046D1F-0B99-4966-9A18-A03865847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316C"/>
    <w:rPr>
      <w:rFonts w:ascii="Arial" w:hAnsi="Arial"/>
      <w:sz w:val="24"/>
    </w:rPr>
  </w:style>
  <w:style w:type="paragraph" w:styleId="Heading1">
    <w:name w:val="heading 1"/>
    <w:basedOn w:val="Normal"/>
    <w:next w:val="Normal"/>
    <w:link w:val="Heading1Char"/>
    <w:autoRedefine/>
    <w:uiPriority w:val="9"/>
    <w:qFormat/>
    <w:rsid w:val="00A85DA1"/>
    <w:pPr>
      <w:keepNext/>
      <w:keepLines/>
      <w:numPr>
        <w:numId w:val="48"/>
      </w:numPr>
      <w:spacing w:before="360" w:after="80"/>
      <w:outlineLvl w:val="0"/>
    </w:pPr>
    <w:rPr>
      <w:rFonts w:eastAsiaTheme="majorEastAsia" w:cstheme="majorBidi"/>
      <w:b/>
      <w:szCs w:val="40"/>
    </w:rPr>
  </w:style>
  <w:style w:type="paragraph" w:styleId="Heading2">
    <w:name w:val="heading 2"/>
    <w:basedOn w:val="Normal"/>
    <w:next w:val="Normal"/>
    <w:link w:val="Heading2Char"/>
    <w:autoRedefine/>
    <w:uiPriority w:val="9"/>
    <w:unhideWhenUsed/>
    <w:qFormat/>
    <w:rsid w:val="00D248ED"/>
    <w:pPr>
      <w:keepNext/>
      <w:keepLines/>
      <w:spacing w:before="160" w:after="80"/>
      <w:outlineLvl w:val="1"/>
    </w:pPr>
    <w:rPr>
      <w:rFonts w:eastAsiaTheme="majorEastAsia" w:cstheme="majorBidi"/>
      <w:b/>
      <w:i/>
      <w:szCs w:val="32"/>
    </w:rPr>
  </w:style>
  <w:style w:type="paragraph" w:styleId="Heading3">
    <w:name w:val="heading 3"/>
    <w:basedOn w:val="Normal"/>
    <w:next w:val="Normal"/>
    <w:link w:val="Heading3Char"/>
    <w:autoRedefine/>
    <w:uiPriority w:val="9"/>
    <w:semiHidden/>
    <w:unhideWhenUsed/>
    <w:qFormat/>
    <w:rsid w:val="0043316C"/>
    <w:pPr>
      <w:keepNext/>
      <w:keepLines/>
      <w:spacing w:before="160" w:after="80"/>
      <w:outlineLvl w:val="2"/>
    </w:pPr>
    <w:rPr>
      <w:rFonts w:eastAsiaTheme="majorEastAsia" w:cstheme="majorBidi"/>
      <w:i/>
      <w:szCs w:val="28"/>
    </w:rPr>
  </w:style>
  <w:style w:type="paragraph" w:styleId="Heading4">
    <w:name w:val="heading 4"/>
    <w:basedOn w:val="Normal"/>
    <w:next w:val="Normal"/>
    <w:link w:val="Heading4Char"/>
    <w:uiPriority w:val="9"/>
    <w:semiHidden/>
    <w:unhideWhenUsed/>
    <w:qFormat/>
    <w:rsid w:val="00C23467"/>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C23467"/>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C23467"/>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C23467"/>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C23467"/>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C23467"/>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248ED"/>
    <w:rPr>
      <w:rFonts w:ascii="Arial" w:eastAsiaTheme="majorEastAsia" w:hAnsi="Arial" w:cstheme="majorBidi"/>
      <w:b/>
      <w:i/>
      <w:sz w:val="24"/>
      <w:szCs w:val="32"/>
    </w:rPr>
  </w:style>
  <w:style w:type="character" w:customStyle="1" w:styleId="Heading3Char">
    <w:name w:val="Heading 3 Char"/>
    <w:basedOn w:val="DefaultParagraphFont"/>
    <w:link w:val="Heading3"/>
    <w:uiPriority w:val="9"/>
    <w:semiHidden/>
    <w:rsid w:val="0043316C"/>
    <w:rPr>
      <w:rFonts w:ascii="Arial" w:eastAsiaTheme="majorEastAsia" w:hAnsi="Arial" w:cstheme="majorBidi"/>
      <w:i/>
      <w:sz w:val="24"/>
      <w:szCs w:val="28"/>
    </w:rPr>
  </w:style>
  <w:style w:type="character" w:customStyle="1" w:styleId="Heading1Char">
    <w:name w:val="Heading 1 Char"/>
    <w:basedOn w:val="DefaultParagraphFont"/>
    <w:link w:val="Heading1"/>
    <w:uiPriority w:val="9"/>
    <w:rsid w:val="00A85DA1"/>
    <w:rPr>
      <w:rFonts w:ascii="Arial" w:eastAsiaTheme="majorEastAsia" w:hAnsi="Arial" w:cstheme="majorBidi"/>
      <w:b/>
      <w:sz w:val="24"/>
      <w:szCs w:val="40"/>
    </w:rPr>
  </w:style>
  <w:style w:type="character" w:customStyle="1" w:styleId="Heading4Char">
    <w:name w:val="Heading 4 Char"/>
    <w:basedOn w:val="DefaultParagraphFont"/>
    <w:link w:val="Heading4"/>
    <w:uiPriority w:val="9"/>
    <w:semiHidden/>
    <w:rsid w:val="00C23467"/>
    <w:rPr>
      <w:rFonts w:eastAsiaTheme="majorEastAsia" w:cstheme="majorBidi"/>
      <w:i/>
      <w:iCs/>
      <w:color w:val="2F5496" w:themeColor="accent1" w:themeShade="BF"/>
      <w:sz w:val="24"/>
    </w:rPr>
  </w:style>
  <w:style w:type="character" w:customStyle="1" w:styleId="Heading5Char">
    <w:name w:val="Heading 5 Char"/>
    <w:basedOn w:val="DefaultParagraphFont"/>
    <w:link w:val="Heading5"/>
    <w:uiPriority w:val="9"/>
    <w:semiHidden/>
    <w:rsid w:val="00C23467"/>
    <w:rPr>
      <w:rFonts w:eastAsiaTheme="majorEastAsia" w:cstheme="majorBidi"/>
      <w:color w:val="2F5496" w:themeColor="accent1" w:themeShade="BF"/>
      <w:sz w:val="24"/>
    </w:rPr>
  </w:style>
  <w:style w:type="character" w:customStyle="1" w:styleId="Heading6Char">
    <w:name w:val="Heading 6 Char"/>
    <w:basedOn w:val="DefaultParagraphFont"/>
    <w:link w:val="Heading6"/>
    <w:uiPriority w:val="9"/>
    <w:semiHidden/>
    <w:rsid w:val="00C23467"/>
    <w:rPr>
      <w:rFonts w:eastAsiaTheme="majorEastAsia" w:cstheme="majorBidi"/>
      <w:i/>
      <w:iCs/>
      <w:color w:val="595959" w:themeColor="text1" w:themeTint="A6"/>
      <w:sz w:val="24"/>
    </w:rPr>
  </w:style>
  <w:style w:type="character" w:customStyle="1" w:styleId="Heading7Char">
    <w:name w:val="Heading 7 Char"/>
    <w:basedOn w:val="DefaultParagraphFont"/>
    <w:link w:val="Heading7"/>
    <w:uiPriority w:val="9"/>
    <w:semiHidden/>
    <w:rsid w:val="00C23467"/>
    <w:rPr>
      <w:rFonts w:eastAsiaTheme="majorEastAsia" w:cstheme="majorBidi"/>
      <w:color w:val="595959" w:themeColor="text1" w:themeTint="A6"/>
      <w:sz w:val="24"/>
    </w:rPr>
  </w:style>
  <w:style w:type="character" w:customStyle="1" w:styleId="Heading8Char">
    <w:name w:val="Heading 8 Char"/>
    <w:basedOn w:val="DefaultParagraphFont"/>
    <w:link w:val="Heading8"/>
    <w:uiPriority w:val="9"/>
    <w:semiHidden/>
    <w:rsid w:val="00C23467"/>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C23467"/>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C2346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2346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23467"/>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2346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23467"/>
    <w:pPr>
      <w:spacing w:before="160"/>
      <w:jc w:val="center"/>
    </w:pPr>
    <w:rPr>
      <w:i/>
      <w:iCs/>
      <w:color w:val="404040" w:themeColor="text1" w:themeTint="BF"/>
    </w:rPr>
  </w:style>
  <w:style w:type="character" w:customStyle="1" w:styleId="QuoteChar">
    <w:name w:val="Quote Char"/>
    <w:basedOn w:val="DefaultParagraphFont"/>
    <w:link w:val="Quote"/>
    <w:uiPriority w:val="29"/>
    <w:rsid w:val="00C23467"/>
    <w:rPr>
      <w:rFonts w:ascii="Arial" w:hAnsi="Arial"/>
      <w:i/>
      <w:iCs/>
      <w:color w:val="404040" w:themeColor="text1" w:themeTint="BF"/>
      <w:sz w:val="24"/>
    </w:rPr>
  </w:style>
  <w:style w:type="paragraph" w:styleId="ListParagraph">
    <w:name w:val="List Paragraph"/>
    <w:basedOn w:val="Normal"/>
    <w:uiPriority w:val="34"/>
    <w:qFormat/>
    <w:rsid w:val="00C23467"/>
    <w:pPr>
      <w:ind w:left="720"/>
      <w:contextualSpacing/>
    </w:pPr>
  </w:style>
  <w:style w:type="character" w:styleId="IntenseEmphasis">
    <w:name w:val="Intense Emphasis"/>
    <w:basedOn w:val="DefaultParagraphFont"/>
    <w:uiPriority w:val="21"/>
    <w:qFormat/>
    <w:rsid w:val="00C23467"/>
    <w:rPr>
      <w:i/>
      <w:iCs/>
      <w:color w:val="2F5496" w:themeColor="accent1" w:themeShade="BF"/>
    </w:rPr>
  </w:style>
  <w:style w:type="paragraph" w:styleId="IntenseQuote">
    <w:name w:val="Intense Quote"/>
    <w:basedOn w:val="Normal"/>
    <w:next w:val="Normal"/>
    <w:link w:val="IntenseQuoteChar"/>
    <w:uiPriority w:val="30"/>
    <w:qFormat/>
    <w:rsid w:val="00C2346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C23467"/>
    <w:rPr>
      <w:rFonts w:ascii="Arial" w:hAnsi="Arial"/>
      <w:i/>
      <w:iCs/>
      <w:color w:val="2F5496" w:themeColor="accent1" w:themeShade="BF"/>
      <w:sz w:val="24"/>
    </w:rPr>
  </w:style>
  <w:style w:type="character" w:styleId="IntenseReference">
    <w:name w:val="Intense Reference"/>
    <w:basedOn w:val="DefaultParagraphFont"/>
    <w:uiPriority w:val="32"/>
    <w:qFormat/>
    <w:rsid w:val="00C23467"/>
    <w:rPr>
      <w:b/>
      <w:bCs/>
      <w:smallCaps/>
      <w:color w:val="2F5496" w:themeColor="accent1" w:themeShade="BF"/>
      <w:spacing w:val="5"/>
    </w:rPr>
  </w:style>
  <w:style w:type="paragraph" w:styleId="Header">
    <w:name w:val="header"/>
    <w:basedOn w:val="Normal"/>
    <w:link w:val="HeaderChar"/>
    <w:uiPriority w:val="99"/>
    <w:unhideWhenUsed/>
    <w:rsid w:val="00C23467"/>
    <w:pPr>
      <w:tabs>
        <w:tab w:val="center" w:pos="4513"/>
        <w:tab w:val="right" w:pos="9026"/>
      </w:tabs>
      <w:spacing w:after="0" w:line="240" w:lineRule="auto"/>
    </w:pPr>
  </w:style>
  <w:style w:type="character" w:customStyle="1" w:styleId="HeaderChar">
    <w:name w:val="Header Char"/>
    <w:basedOn w:val="DefaultParagraphFont"/>
    <w:link w:val="Header"/>
    <w:uiPriority w:val="99"/>
    <w:rsid w:val="00C23467"/>
    <w:rPr>
      <w:rFonts w:ascii="Arial" w:hAnsi="Arial"/>
      <w:sz w:val="24"/>
    </w:rPr>
  </w:style>
  <w:style w:type="paragraph" w:styleId="Footer">
    <w:name w:val="footer"/>
    <w:basedOn w:val="Normal"/>
    <w:link w:val="FooterChar"/>
    <w:uiPriority w:val="99"/>
    <w:unhideWhenUsed/>
    <w:rsid w:val="00C23467"/>
    <w:pPr>
      <w:tabs>
        <w:tab w:val="center" w:pos="4513"/>
        <w:tab w:val="right" w:pos="9026"/>
      </w:tabs>
      <w:spacing w:after="0" w:line="240" w:lineRule="auto"/>
    </w:pPr>
  </w:style>
  <w:style w:type="character" w:customStyle="1" w:styleId="FooterChar">
    <w:name w:val="Footer Char"/>
    <w:basedOn w:val="DefaultParagraphFont"/>
    <w:link w:val="Footer"/>
    <w:uiPriority w:val="99"/>
    <w:rsid w:val="00C23467"/>
    <w:rPr>
      <w:rFonts w:ascii="Arial" w:hAnsi="Arial"/>
      <w:sz w:val="24"/>
    </w:rPr>
  </w:style>
  <w:style w:type="character" w:styleId="Hyperlink">
    <w:name w:val="Hyperlink"/>
    <w:basedOn w:val="DefaultParagraphFont"/>
    <w:uiPriority w:val="99"/>
    <w:unhideWhenUsed/>
    <w:rsid w:val="00556E50"/>
    <w:rPr>
      <w:color w:val="0563C1" w:themeColor="hyperlink"/>
      <w:u w:val="single"/>
    </w:rPr>
  </w:style>
  <w:style w:type="character" w:styleId="UnresolvedMention">
    <w:name w:val="Unresolved Mention"/>
    <w:basedOn w:val="DefaultParagraphFont"/>
    <w:uiPriority w:val="99"/>
    <w:semiHidden/>
    <w:unhideWhenUsed/>
    <w:rsid w:val="00556E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286038">
      <w:bodyDiv w:val="1"/>
      <w:marLeft w:val="0"/>
      <w:marRight w:val="0"/>
      <w:marTop w:val="0"/>
      <w:marBottom w:val="0"/>
      <w:divBdr>
        <w:top w:val="none" w:sz="0" w:space="0" w:color="auto"/>
        <w:left w:val="none" w:sz="0" w:space="0" w:color="auto"/>
        <w:bottom w:val="none" w:sz="0" w:space="0" w:color="auto"/>
        <w:right w:val="none" w:sz="0" w:space="0" w:color="auto"/>
      </w:divBdr>
    </w:div>
    <w:div w:id="477770809">
      <w:bodyDiv w:val="1"/>
      <w:marLeft w:val="0"/>
      <w:marRight w:val="0"/>
      <w:marTop w:val="0"/>
      <w:marBottom w:val="0"/>
      <w:divBdr>
        <w:top w:val="none" w:sz="0" w:space="0" w:color="auto"/>
        <w:left w:val="none" w:sz="0" w:space="0" w:color="auto"/>
        <w:bottom w:val="none" w:sz="0" w:space="0" w:color="auto"/>
        <w:right w:val="none" w:sz="0" w:space="0" w:color="auto"/>
      </w:divBdr>
      <w:divsChild>
        <w:div w:id="1906719505">
          <w:marLeft w:val="0"/>
          <w:marRight w:val="0"/>
          <w:marTop w:val="0"/>
          <w:marBottom w:val="0"/>
          <w:divBdr>
            <w:top w:val="none" w:sz="0" w:space="0" w:color="auto"/>
            <w:left w:val="none" w:sz="0" w:space="0" w:color="auto"/>
            <w:bottom w:val="none" w:sz="0" w:space="0" w:color="auto"/>
            <w:right w:val="none" w:sz="0" w:space="0" w:color="auto"/>
          </w:divBdr>
          <w:divsChild>
            <w:div w:id="1873112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175802">
      <w:bodyDiv w:val="1"/>
      <w:marLeft w:val="0"/>
      <w:marRight w:val="0"/>
      <w:marTop w:val="0"/>
      <w:marBottom w:val="0"/>
      <w:divBdr>
        <w:top w:val="none" w:sz="0" w:space="0" w:color="auto"/>
        <w:left w:val="none" w:sz="0" w:space="0" w:color="auto"/>
        <w:bottom w:val="none" w:sz="0" w:space="0" w:color="auto"/>
        <w:right w:val="none" w:sz="0" w:space="0" w:color="auto"/>
      </w:divBdr>
    </w:div>
    <w:div w:id="945888518">
      <w:bodyDiv w:val="1"/>
      <w:marLeft w:val="0"/>
      <w:marRight w:val="0"/>
      <w:marTop w:val="0"/>
      <w:marBottom w:val="0"/>
      <w:divBdr>
        <w:top w:val="none" w:sz="0" w:space="0" w:color="auto"/>
        <w:left w:val="none" w:sz="0" w:space="0" w:color="auto"/>
        <w:bottom w:val="none" w:sz="0" w:space="0" w:color="auto"/>
        <w:right w:val="none" w:sz="0" w:space="0" w:color="auto"/>
      </w:divBdr>
      <w:divsChild>
        <w:div w:id="1517649410">
          <w:marLeft w:val="0"/>
          <w:marRight w:val="0"/>
          <w:marTop w:val="0"/>
          <w:marBottom w:val="0"/>
          <w:divBdr>
            <w:top w:val="none" w:sz="0" w:space="0" w:color="auto"/>
            <w:left w:val="none" w:sz="0" w:space="0" w:color="auto"/>
            <w:bottom w:val="none" w:sz="0" w:space="0" w:color="auto"/>
            <w:right w:val="none" w:sz="0" w:space="0" w:color="auto"/>
          </w:divBdr>
          <w:divsChild>
            <w:div w:id="1590386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5669726">
      <w:bodyDiv w:val="1"/>
      <w:marLeft w:val="0"/>
      <w:marRight w:val="0"/>
      <w:marTop w:val="0"/>
      <w:marBottom w:val="0"/>
      <w:divBdr>
        <w:top w:val="none" w:sz="0" w:space="0" w:color="auto"/>
        <w:left w:val="none" w:sz="0" w:space="0" w:color="auto"/>
        <w:bottom w:val="none" w:sz="0" w:space="0" w:color="auto"/>
        <w:right w:val="none" w:sz="0" w:space="0" w:color="auto"/>
      </w:divBdr>
    </w:div>
    <w:div w:id="1043557210">
      <w:bodyDiv w:val="1"/>
      <w:marLeft w:val="0"/>
      <w:marRight w:val="0"/>
      <w:marTop w:val="0"/>
      <w:marBottom w:val="0"/>
      <w:divBdr>
        <w:top w:val="none" w:sz="0" w:space="0" w:color="auto"/>
        <w:left w:val="none" w:sz="0" w:space="0" w:color="auto"/>
        <w:bottom w:val="none" w:sz="0" w:space="0" w:color="auto"/>
        <w:right w:val="none" w:sz="0" w:space="0" w:color="auto"/>
      </w:divBdr>
      <w:divsChild>
        <w:div w:id="1239556800">
          <w:marLeft w:val="0"/>
          <w:marRight w:val="0"/>
          <w:marTop w:val="0"/>
          <w:marBottom w:val="0"/>
          <w:divBdr>
            <w:top w:val="none" w:sz="0" w:space="0" w:color="auto"/>
            <w:left w:val="none" w:sz="0" w:space="0" w:color="auto"/>
            <w:bottom w:val="none" w:sz="0" w:space="0" w:color="auto"/>
            <w:right w:val="none" w:sz="0" w:space="0" w:color="auto"/>
          </w:divBdr>
          <w:divsChild>
            <w:div w:id="367266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6172594">
      <w:bodyDiv w:val="1"/>
      <w:marLeft w:val="0"/>
      <w:marRight w:val="0"/>
      <w:marTop w:val="0"/>
      <w:marBottom w:val="0"/>
      <w:divBdr>
        <w:top w:val="none" w:sz="0" w:space="0" w:color="auto"/>
        <w:left w:val="none" w:sz="0" w:space="0" w:color="auto"/>
        <w:bottom w:val="none" w:sz="0" w:space="0" w:color="auto"/>
        <w:right w:val="none" w:sz="0" w:space="0" w:color="auto"/>
      </w:divBdr>
      <w:divsChild>
        <w:div w:id="620038894">
          <w:marLeft w:val="0"/>
          <w:marRight w:val="0"/>
          <w:marTop w:val="0"/>
          <w:marBottom w:val="0"/>
          <w:divBdr>
            <w:top w:val="none" w:sz="0" w:space="0" w:color="auto"/>
            <w:left w:val="none" w:sz="0" w:space="0" w:color="auto"/>
            <w:bottom w:val="none" w:sz="0" w:space="0" w:color="auto"/>
            <w:right w:val="none" w:sz="0" w:space="0" w:color="auto"/>
          </w:divBdr>
          <w:divsChild>
            <w:div w:id="1669140625">
              <w:marLeft w:val="0"/>
              <w:marRight w:val="0"/>
              <w:marTop w:val="0"/>
              <w:marBottom w:val="0"/>
              <w:divBdr>
                <w:top w:val="none" w:sz="0" w:space="0" w:color="auto"/>
                <w:left w:val="none" w:sz="0" w:space="0" w:color="auto"/>
                <w:bottom w:val="none" w:sz="0" w:space="0" w:color="auto"/>
                <w:right w:val="none" w:sz="0" w:space="0" w:color="auto"/>
              </w:divBdr>
            </w:div>
          </w:divsChild>
        </w:div>
        <w:div w:id="147911258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64986539">
      <w:bodyDiv w:val="1"/>
      <w:marLeft w:val="0"/>
      <w:marRight w:val="0"/>
      <w:marTop w:val="0"/>
      <w:marBottom w:val="0"/>
      <w:divBdr>
        <w:top w:val="none" w:sz="0" w:space="0" w:color="auto"/>
        <w:left w:val="none" w:sz="0" w:space="0" w:color="auto"/>
        <w:bottom w:val="none" w:sz="0" w:space="0" w:color="auto"/>
        <w:right w:val="none" w:sz="0" w:space="0" w:color="auto"/>
      </w:divBdr>
    </w:div>
    <w:div w:id="1366906542">
      <w:bodyDiv w:val="1"/>
      <w:marLeft w:val="0"/>
      <w:marRight w:val="0"/>
      <w:marTop w:val="0"/>
      <w:marBottom w:val="0"/>
      <w:divBdr>
        <w:top w:val="none" w:sz="0" w:space="0" w:color="auto"/>
        <w:left w:val="none" w:sz="0" w:space="0" w:color="auto"/>
        <w:bottom w:val="none" w:sz="0" w:space="0" w:color="auto"/>
        <w:right w:val="none" w:sz="0" w:space="0" w:color="auto"/>
      </w:divBdr>
    </w:div>
    <w:div w:id="1394547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admin@ashingtontowncouncil.gov.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Pages>10</Pages>
  <Words>2158</Words>
  <Characters>12301</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Eden</dc:creator>
  <cp:keywords/>
  <dc:description/>
  <cp:lastModifiedBy>Sarah Eden</cp:lastModifiedBy>
  <cp:revision>14</cp:revision>
  <dcterms:created xsi:type="dcterms:W3CDTF">2025-06-18T11:02:00Z</dcterms:created>
  <dcterms:modified xsi:type="dcterms:W3CDTF">2025-06-18T14:09:00Z</dcterms:modified>
</cp:coreProperties>
</file>