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79C14" w14:textId="02C2F1B5" w:rsidR="00874F08" w:rsidRDefault="00874F08">
      <w:pPr>
        <w:pStyle w:val="TOC1"/>
        <w:tabs>
          <w:tab w:val="left" w:pos="480"/>
          <w:tab w:val="right" w:leader="dot" w:pos="9016"/>
        </w:tabs>
        <w:rPr>
          <w:noProof/>
        </w:rPr>
      </w:pPr>
      <w:r>
        <w:fldChar w:fldCharType="begin"/>
      </w:r>
      <w:r>
        <w:instrText xml:space="preserve"> TOC \o "1-3" \h \z \u </w:instrText>
      </w:r>
      <w:r>
        <w:fldChar w:fldCharType="separate"/>
      </w:r>
      <w:hyperlink w:anchor="_Toc229653092" w:history="1">
        <w:r w:rsidRPr="00F81D6A">
          <w:rPr>
            <w:rStyle w:val="Hyperlink"/>
            <w:bCs/>
            <w:noProof/>
          </w:rPr>
          <w:t>1.</w:t>
        </w:r>
        <w:r>
          <w:rPr>
            <w:noProof/>
          </w:rPr>
          <w:tab/>
        </w:r>
        <w:r w:rsidRPr="00F81D6A">
          <w:rPr>
            <w:rStyle w:val="Hyperlink"/>
            <w:noProof/>
          </w:rPr>
          <w:t>Introduction and Background</w:t>
        </w:r>
        <w:r>
          <w:rPr>
            <w:noProof/>
            <w:webHidden/>
          </w:rPr>
          <w:tab/>
        </w:r>
        <w:r>
          <w:rPr>
            <w:noProof/>
            <w:webHidden/>
          </w:rPr>
          <w:fldChar w:fldCharType="begin"/>
        </w:r>
        <w:r>
          <w:rPr>
            <w:noProof/>
            <w:webHidden/>
          </w:rPr>
          <w:instrText xml:space="preserve"> PAGEREF _Toc229653092 \h </w:instrText>
        </w:r>
        <w:r>
          <w:rPr>
            <w:noProof/>
            <w:webHidden/>
          </w:rPr>
        </w:r>
        <w:r>
          <w:rPr>
            <w:noProof/>
            <w:webHidden/>
          </w:rPr>
          <w:fldChar w:fldCharType="separate"/>
        </w:r>
        <w:r>
          <w:rPr>
            <w:noProof/>
            <w:webHidden/>
          </w:rPr>
          <w:t>2</w:t>
        </w:r>
        <w:r>
          <w:rPr>
            <w:noProof/>
            <w:webHidden/>
          </w:rPr>
          <w:fldChar w:fldCharType="end"/>
        </w:r>
      </w:hyperlink>
    </w:p>
    <w:p w14:paraId="242B8D20" w14:textId="4512A92E" w:rsidR="00874F08" w:rsidRDefault="00874F08">
      <w:pPr>
        <w:pStyle w:val="TOC1"/>
        <w:tabs>
          <w:tab w:val="left" w:pos="480"/>
          <w:tab w:val="right" w:leader="dot" w:pos="9016"/>
        </w:tabs>
        <w:rPr>
          <w:noProof/>
        </w:rPr>
      </w:pPr>
      <w:hyperlink w:anchor="_Toc229653093" w:history="1">
        <w:r w:rsidRPr="00F81D6A">
          <w:rPr>
            <w:rStyle w:val="Hyperlink"/>
            <w:rFonts w:eastAsia="Times New Roman"/>
            <w:bCs/>
            <w:noProof/>
            <w:lang w:eastAsia="en-GB"/>
          </w:rPr>
          <w:t>2.</w:t>
        </w:r>
        <w:r>
          <w:rPr>
            <w:noProof/>
          </w:rPr>
          <w:tab/>
        </w:r>
        <w:r w:rsidRPr="00F81D6A">
          <w:rPr>
            <w:rStyle w:val="Hyperlink"/>
            <w:rFonts w:eastAsia="Times New Roman"/>
            <w:noProof/>
            <w:lang w:eastAsia="en-GB"/>
          </w:rPr>
          <w:t>Purpose</w:t>
        </w:r>
        <w:r>
          <w:rPr>
            <w:noProof/>
            <w:webHidden/>
          </w:rPr>
          <w:tab/>
        </w:r>
        <w:r>
          <w:rPr>
            <w:noProof/>
            <w:webHidden/>
          </w:rPr>
          <w:fldChar w:fldCharType="begin"/>
        </w:r>
        <w:r>
          <w:rPr>
            <w:noProof/>
            <w:webHidden/>
          </w:rPr>
          <w:instrText xml:space="preserve"> PAGEREF _Toc229653093 \h </w:instrText>
        </w:r>
        <w:r>
          <w:rPr>
            <w:noProof/>
            <w:webHidden/>
          </w:rPr>
        </w:r>
        <w:r>
          <w:rPr>
            <w:noProof/>
            <w:webHidden/>
          </w:rPr>
          <w:fldChar w:fldCharType="separate"/>
        </w:r>
        <w:r>
          <w:rPr>
            <w:noProof/>
            <w:webHidden/>
          </w:rPr>
          <w:t>2</w:t>
        </w:r>
        <w:r>
          <w:rPr>
            <w:noProof/>
            <w:webHidden/>
          </w:rPr>
          <w:fldChar w:fldCharType="end"/>
        </w:r>
      </w:hyperlink>
    </w:p>
    <w:p w14:paraId="35D1C0A5" w14:textId="7A3D9EC0" w:rsidR="00874F08" w:rsidRDefault="00874F08">
      <w:pPr>
        <w:pStyle w:val="TOC1"/>
        <w:tabs>
          <w:tab w:val="left" w:pos="480"/>
          <w:tab w:val="right" w:leader="dot" w:pos="9016"/>
        </w:tabs>
        <w:rPr>
          <w:noProof/>
        </w:rPr>
      </w:pPr>
      <w:hyperlink w:anchor="_Toc229653094" w:history="1">
        <w:r w:rsidRPr="00F81D6A">
          <w:rPr>
            <w:rStyle w:val="Hyperlink"/>
            <w:rFonts w:eastAsia="Times New Roman"/>
            <w:bCs/>
            <w:noProof/>
            <w:lang w:eastAsia="en-GB"/>
          </w:rPr>
          <w:t>3.</w:t>
        </w:r>
        <w:r>
          <w:rPr>
            <w:noProof/>
          </w:rPr>
          <w:tab/>
        </w:r>
        <w:r w:rsidRPr="00F81D6A">
          <w:rPr>
            <w:rStyle w:val="Hyperlink"/>
            <w:rFonts w:eastAsia="Times New Roman"/>
            <w:noProof/>
            <w:lang w:eastAsia="en-GB"/>
          </w:rPr>
          <w:t>Scope</w:t>
        </w:r>
        <w:r>
          <w:rPr>
            <w:noProof/>
            <w:webHidden/>
          </w:rPr>
          <w:tab/>
        </w:r>
        <w:r>
          <w:rPr>
            <w:noProof/>
            <w:webHidden/>
          </w:rPr>
          <w:fldChar w:fldCharType="begin"/>
        </w:r>
        <w:r>
          <w:rPr>
            <w:noProof/>
            <w:webHidden/>
          </w:rPr>
          <w:instrText xml:space="preserve"> PAGEREF _Toc229653094 \h </w:instrText>
        </w:r>
        <w:r>
          <w:rPr>
            <w:noProof/>
            <w:webHidden/>
          </w:rPr>
        </w:r>
        <w:r>
          <w:rPr>
            <w:noProof/>
            <w:webHidden/>
          </w:rPr>
          <w:fldChar w:fldCharType="separate"/>
        </w:r>
        <w:r>
          <w:rPr>
            <w:noProof/>
            <w:webHidden/>
          </w:rPr>
          <w:t>3</w:t>
        </w:r>
        <w:r>
          <w:rPr>
            <w:noProof/>
            <w:webHidden/>
          </w:rPr>
          <w:fldChar w:fldCharType="end"/>
        </w:r>
      </w:hyperlink>
    </w:p>
    <w:p w14:paraId="4AD84060" w14:textId="02FFAB4B" w:rsidR="00874F08" w:rsidRDefault="00874F08">
      <w:pPr>
        <w:pStyle w:val="TOC1"/>
        <w:tabs>
          <w:tab w:val="left" w:pos="480"/>
          <w:tab w:val="right" w:leader="dot" w:pos="9016"/>
        </w:tabs>
        <w:rPr>
          <w:noProof/>
        </w:rPr>
      </w:pPr>
      <w:hyperlink w:anchor="_Toc229653095" w:history="1">
        <w:r w:rsidRPr="00F81D6A">
          <w:rPr>
            <w:rStyle w:val="Hyperlink"/>
            <w:rFonts w:eastAsia="Times New Roman"/>
            <w:bCs/>
            <w:noProof/>
            <w:lang w:eastAsia="en-GB"/>
          </w:rPr>
          <w:t>4.</w:t>
        </w:r>
        <w:r>
          <w:rPr>
            <w:noProof/>
          </w:rPr>
          <w:tab/>
        </w:r>
        <w:r w:rsidRPr="00F81D6A">
          <w:rPr>
            <w:rStyle w:val="Hyperlink"/>
            <w:rFonts w:eastAsia="Times New Roman"/>
            <w:noProof/>
            <w:lang w:eastAsia="en-GB"/>
          </w:rPr>
          <w:t>Policy Statement</w:t>
        </w:r>
        <w:r>
          <w:rPr>
            <w:noProof/>
            <w:webHidden/>
          </w:rPr>
          <w:tab/>
        </w:r>
        <w:r>
          <w:rPr>
            <w:noProof/>
            <w:webHidden/>
          </w:rPr>
          <w:fldChar w:fldCharType="begin"/>
        </w:r>
        <w:r>
          <w:rPr>
            <w:noProof/>
            <w:webHidden/>
          </w:rPr>
          <w:instrText xml:space="preserve"> PAGEREF _Toc229653095 \h </w:instrText>
        </w:r>
        <w:r>
          <w:rPr>
            <w:noProof/>
            <w:webHidden/>
          </w:rPr>
        </w:r>
        <w:r>
          <w:rPr>
            <w:noProof/>
            <w:webHidden/>
          </w:rPr>
          <w:fldChar w:fldCharType="separate"/>
        </w:r>
        <w:r>
          <w:rPr>
            <w:noProof/>
            <w:webHidden/>
          </w:rPr>
          <w:t>3</w:t>
        </w:r>
        <w:r>
          <w:rPr>
            <w:noProof/>
            <w:webHidden/>
          </w:rPr>
          <w:fldChar w:fldCharType="end"/>
        </w:r>
      </w:hyperlink>
    </w:p>
    <w:p w14:paraId="652A72D2" w14:textId="31519F90" w:rsidR="00874F08" w:rsidRDefault="00874F08">
      <w:pPr>
        <w:pStyle w:val="TOC1"/>
        <w:tabs>
          <w:tab w:val="left" w:pos="480"/>
          <w:tab w:val="right" w:leader="dot" w:pos="9016"/>
        </w:tabs>
        <w:rPr>
          <w:noProof/>
        </w:rPr>
      </w:pPr>
      <w:hyperlink w:anchor="_Toc229653096" w:history="1">
        <w:r w:rsidRPr="00F81D6A">
          <w:rPr>
            <w:rStyle w:val="Hyperlink"/>
            <w:rFonts w:eastAsia="Times New Roman"/>
            <w:bCs/>
            <w:noProof/>
            <w:lang w:eastAsia="en-GB"/>
          </w:rPr>
          <w:t>5.</w:t>
        </w:r>
        <w:r>
          <w:rPr>
            <w:noProof/>
          </w:rPr>
          <w:tab/>
        </w:r>
        <w:r w:rsidRPr="00F81D6A">
          <w:rPr>
            <w:rStyle w:val="Hyperlink"/>
            <w:rFonts w:eastAsia="Times New Roman"/>
            <w:noProof/>
            <w:lang w:eastAsia="en-GB"/>
          </w:rPr>
          <w:t>Eligibility and Application Process</w:t>
        </w:r>
        <w:r>
          <w:rPr>
            <w:noProof/>
            <w:webHidden/>
          </w:rPr>
          <w:tab/>
        </w:r>
        <w:r>
          <w:rPr>
            <w:noProof/>
            <w:webHidden/>
          </w:rPr>
          <w:fldChar w:fldCharType="begin"/>
        </w:r>
        <w:r>
          <w:rPr>
            <w:noProof/>
            <w:webHidden/>
          </w:rPr>
          <w:instrText xml:space="preserve"> PAGEREF _Toc229653096 \h </w:instrText>
        </w:r>
        <w:r>
          <w:rPr>
            <w:noProof/>
            <w:webHidden/>
          </w:rPr>
        </w:r>
        <w:r>
          <w:rPr>
            <w:noProof/>
            <w:webHidden/>
          </w:rPr>
          <w:fldChar w:fldCharType="separate"/>
        </w:r>
        <w:r>
          <w:rPr>
            <w:noProof/>
            <w:webHidden/>
          </w:rPr>
          <w:t>3</w:t>
        </w:r>
        <w:r>
          <w:rPr>
            <w:noProof/>
            <w:webHidden/>
          </w:rPr>
          <w:fldChar w:fldCharType="end"/>
        </w:r>
      </w:hyperlink>
    </w:p>
    <w:p w14:paraId="2883DB3A" w14:textId="2F4A77E0" w:rsidR="00874F08" w:rsidRDefault="00874F08">
      <w:pPr>
        <w:pStyle w:val="TOC2"/>
        <w:tabs>
          <w:tab w:val="right" w:leader="dot" w:pos="9016"/>
        </w:tabs>
        <w:rPr>
          <w:noProof/>
        </w:rPr>
      </w:pPr>
      <w:hyperlink w:anchor="_Toc229653097" w:history="1">
        <w:r w:rsidRPr="00F81D6A">
          <w:rPr>
            <w:rStyle w:val="Hyperlink"/>
            <w:rFonts w:eastAsia="Times New Roman"/>
            <w:noProof/>
            <w:lang w:eastAsia="en-GB"/>
          </w:rPr>
          <w:t>5.1 Eligibility Criteria</w:t>
        </w:r>
        <w:r>
          <w:rPr>
            <w:noProof/>
            <w:webHidden/>
          </w:rPr>
          <w:tab/>
        </w:r>
        <w:r>
          <w:rPr>
            <w:noProof/>
            <w:webHidden/>
          </w:rPr>
          <w:fldChar w:fldCharType="begin"/>
        </w:r>
        <w:r>
          <w:rPr>
            <w:noProof/>
            <w:webHidden/>
          </w:rPr>
          <w:instrText xml:space="preserve"> PAGEREF _Toc229653097 \h </w:instrText>
        </w:r>
        <w:r>
          <w:rPr>
            <w:noProof/>
            <w:webHidden/>
          </w:rPr>
        </w:r>
        <w:r>
          <w:rPr>
            <w:noProof/>
            <w:webHidden/>
          </w:rPr>
          <w:fldChar w:fldCharType="separate"/>
        </w:r>
        <w:r>
          <w:rPr>
            <w:noProof/>
            <w:webHidden/>
          </w:rPr>
          <w:t>3</w:t>
        </w:r>
        <w:r>
          <w:rPr>
            <w:noProof/>
            <w:webHidden/>
          </w:rPr>
          <w:fldChar w:fldCharType="end"/>
        </w:r>
      </w:hyperlink>
    </w:p>
    <w:p w14:paraId="657DF9FD" w14:textId="424627BD" w:rsidR="00874F08" w:rsidRDefault="00874F08">
      <w:pPr>
        <w:pStyle w:val="TOC2"/>
        <w:tabs>
          <w:tab w:val="right" w:leader="dot" w:pos="9016"/>
        </w:tabs>
        <w:rPr>
          <w:noProof/>
        </w:rPr>
      </w:pPr>
      <w:hyperlink w:anchor="_Toc229653098" w:history="1">
        <w:r w:rsidRPr="00F81D6A">
          <w:rPr>
            <w:rStyle w:val="Hyperlink"/>
            <w:rFonts w:eastAsia="Times New Roman"/>
            <w:noProof/>
            <w:lang w:eastAsia="en-GB"/>
          </w:rPr>
          <w:t>5.2 Application Steps</w:t>
        </w:r>
        <w:r>
          <w:rPr>
            <w:noProof/>
            <w:webHidden/>
          </w:rPr>
          <w:tab/>
        </w:r>
        <w:r>
          <w:rPr>
            <w:noProof/>
            <w:webHidden/>
          </w:rPr>
          <w:fldChar w:fldCharType="begin"/>
        </w:r>
        <w:r>
          <w:rPr>
            <w:noProof/>
            <w:webHidden/>
          </w:rPr>
          <w:instrText xml:space="preserve"> PAGEREF _Toc229653098 \h </w:instrText>
        </w:r>
        <w:r>
          <w:rPr>
            <w:noProof/>
            <w:webHidden/>
          </w:rPr>
        </w:r>
        <w:r>
          <w:rPr>
            <w:noProof/>
            <w:webHidden/>
          </w:rPr>
          <w:fldChar w:fldCharType="separate"/>
        </w:r>
        <w:r>
          <w:rPr>
            <w:noProof/>
            <w:webHidden/>
          </w:rPr>
          <w:t>3</w:t>
        </w:r>
        <w:r>
          <w:rPr>
            <w:noProof/>
            <w:webHidden/>
          </w:rPr>
          <w:fldChar w:fldCharType="end"/>
        </w:r>
      </w:hyperlink>
    </w:p>
    <w:p w14:paraId="2CEC4869" w14:textId="049902DD" w:rsidR="00874F08" w:rsidRDefault="00874F08">
      <w:pPr>
        <w:pStyle w:val="TOC2"/>
        <w:tabs>
          <w:tab w:val="right" w:leader="dot" w:pos="9016"/>
        </w:tabs>
        <w:rPr>
          <w:noProof/>
        </w:rPr>
      </w:pPr>
      <w:hyperlink w:anchor="_Toc229653099" w:history="1">
        <w:r w:rsidRPr="00F81D6A">
          <w:rPr>
            <w:rStyle w:val="Hyperlink"/>
            <w:rFonts w:eastAsia="Times New Roman"/>
            <w:noProof/>
            <w:lang w:eastAsia="en-GB"/>
          </w:rPr>
          <w:t>5.3 Decision and Notification</w:t>
        </w:r>
        <w:r>
          <w:rPr>
            <w:noProof/>
            <w:webHidden/>
          </w:rPr>
          <w:tab/>
        </w:r>
        <w:r>
          <w:rPr>
            <w:noProof/>
            <w:webHidden/>
          </w:rPr>
          <w:fldChar w:fldCharType="begin"/>
        </w:r>
        <w:r>
          <w:rPr>
            <w:noProof/>
            <w:webHidden/>
          </w:rPr>
          <w:instrText xml:space="preserve"> PAGEREF _Toc229653099 \h </w:instrText>
        </w:r>
        <w:r>
          <w:rPr>
            <w:noProof/>
            <w:webHidden/>
          </w:rPr>
        </w:r>
        <w:r>
          <w:rPr>
            <w:noProof/>
            <w:webHidden/>
          </w:rPr>
          <w:fldChar w:fldCharType="separate"/>
        </w:r>
        <w:r>
          <w:rPr>
            <w:noProof/>
            <w:webHidden/>
          </w:rPr>
          <w:t>3</w:t>
        </w:r>
        <w:r>
          <w:rPr>
            <w:noProof/>
            <w:webHidden/>
          </w:rPr>
          <w:fldChar w:fldCharType="end"/>
        </w:r>
      </w:hyperlink>
    </w:p>
    <w:p w14:paraId="7FA2B464" w14:textId="5740D738" w:rsidR="00874F08" w:rsidRDefault="00874F08">
      <w:pPr>
        <w:pStyle w:val="TOC1"/>
        <w:tabs>
          <w:tab w:val="left" w:pos="480"/>
          <w:tab w:val="right" w:leader="dot" w:pos="9016"/>
        </w:tabs>
        <w:rPr>
          <w:noProof/>
        </w:rPr>
      </w:pPr>
      <w:hyperlink w:anchor="_Toc229653100" w:history="1">
        <w:r w:rsidRPr="00F81D6A">
          <w:rPr>
            <w:rStyle w:val="Hyperlink"/>
            <w:rFonts w:eastAsia="Times New Roman"/>
            <w:bCs/>
            <w:noProof/>
            <w:lang w:eastAsia="en-GB"/>
          </w:rPr>
          <w:t>6.</w:t>
        </w:r>
        <w:r>
          <w:rPr>
            <w:noProof/>
          </w:rPr>
          <w:tab/>
        </w:r>
        <w:r w:rsidRPr="00F81D6A">
          <w:rPr>
            <w:rStyle w:val="Hyperlink"/>
            <w:rFonts w:eastAsia="Times New Roman"/>
            <w:noProof/>
            <w:lang w:eastAsia="en-GB"/>
          </w:rPr>
          <w:t>Flexible Retirement Options and Contract Adjustments</w:t>
        </w:r>
        <w:r>
          <w:rPr>
            <w:noProof/>
            <w:webHidden/>
          </w:rPr>
          <w:tab/>
        </w:r>
        <w:r>
          <w:rPr>
            <w:noProof/>
            <w:webHidden/>
          </w:rPr>
          <w:fldChar w:fldCharType="begin"/>
        </w:r>
        <w:r>
          <w:rPr>
            <w:noProof/>
            <w:webHidden/>
          </w:rPr>
          <w:instrText xml:space="preserve"> PAGEREF _Toc229653100 \h </w:instrText>
        </w:r>
        <w:r>
          <w:rPr>
            <w:noProof/>
            <w:webHidden/>
          </w:rPr>
        </w:r>
        <w:r>
          <w:rPr>
            <w:noProof/>
            <w:webHidden/>
          </w:rPr>
          <w:fldChar w:fldCharType="separate"/>
        </w:r>
        <w:r>
          <w:rPr>
            <w:noProof/>
            <w:webHidden/>
          </w:rPr>
          <w:t>3</w:t>
        </w:r>
        <w:r>
          <w:rPr>
            <w:noProof/>
            <w:webHidden/>
          </w:rPr>
          <w:fldChar w:fldCharType="end"/>
        </w:r>
      </w:hyperlink>
    </w:p>
    <w:p w14:paraId="1FEF4EC6" w14:textId="64CB18EA" w:rsidR="00874F08" w:rsidRDefault="00874F08">
      <w:pPr>
        <w:pStyle w:val="TOC2"/>
        <w:tabs>
          <w:tab w:val="right" w:leader="dot" w:pos="9016"/>
        </w:tabs>
        <w:rPr>
          <w:noProof/>
        </w:rPr>
      </w:pPr>
      <w:hyperlink w:anchor="_Toc229653101" w:history="1">
        <w:r w:rsidRPr="00F81D6A">
          <w:rPr>
            <w:rStyle w:val="Hyperlink"/>
            <w:rFonts w:eastAsia="Times New Roman"/>
            <w:noProof/>
            <w:lang w:eastAsia="en-GB"/>
          </w:rPr>
          <w:t>6.1 Reduction Options</w:t>
        </w:r>
        <w:r>
          <w:rPr>
            <w:noProof/>
            <w:webHidden/>
          </w:rPr>
          <w:tab/>
        </w:r>
        <w:r>
          <w:rPr>
            <w:noProof/>
            <w:webHidden/>
          </w:rPr>
          <w:fldChar w:fldCharType="begin"/>
        </w:r>
        <w:r>
          <w:rPr>
            <w:noProof/>
            <w:webHidden/>
          </w:rPr>
          <w:instrText xml:space="preserve"> PAGEREF _Toc229653101 \h </w:instrText>
        </w:r>
        <w:r>
          <w:rPr>
            <w:noProof/>
            <w:webHidden/>
          </w:rPr>
        </w:r>
        <w:r>
          <w:rPr>
            <w:noProof/>
            <w:webHidden/>
          </w:rPr>
          <w:fldChar w:fldCharType="separate"/>
        </w:r>
        <w:r>
          <w:rPr>
            <w:noProof/>
            <w:webHidden/>
          </w:rPr>
          <w:t>3</w:t>
        </w:r>
        <w:r>
          <w:rPr>
            <w:noProof/>
            <w:webHidden/>
          </w:rPr>
          <w:fldChar w:fldCharType="end"/>
        </w:r>
      </w:hyperlink>
    </w:p>
    <w:p w14:paraId="3AADD1E1" w14:textId="169B9832" w:rsidR="00874F08" w:rsidRDefault="00874F08">
      <w:pPr>
        <w:pStyle w:val="TOC2"/>
        <w:tabs>
          <w:tab w:val="right" w:leader="dot" w:pos="9016"/>
        </w:tabs>
        <w:rPr>
          <w:noProof/>
        </w:rPr>
      </w:pPr>
      <w:hyperlink w:anchor="_Toc229653102" w:history="1">
        <w:r w:rsidRPr="00F81D6A">
          <w:rPr>
            <w:rStyle w:val="Hyperlink"/>
            <w:noProof/>
            <w:lang w:eastAsia="en-GB"/>
          </w:rPr>
          <w:t>6.2 Conditions for Reducing Responsibilities</w:t>
        </w:r>
        <w:r>
          <w:rPr>
            <w:noProof/>
            <w:webHidden/>
          </w:rPr>
          <w:tab/>
        </w:r>
        <w:r>
          <w:rPr>
            <w:noProof/>
            <w:webHidden/>
          </w:rPr>
          <w:fldChar w:fldCharType="begin"/>
        </w:r>
        <w:r>
          <w:rPr>
            <w:noProof/>
            <w:webHidden/>
          </w:rPr>
          <w:instrText xml:space="preserve"> PAGEREF _Toc229653102 \h </w:instrText>
        </w:r>
        <w:r>
          <w:rPr>
            <w:noProof/>
            <w:webHidden/>
          </w:rPr>
        </w:r>
        <w:r>
          <w:rPr>
            <w:noProof/>
            <w:webHidden/>
          </w:rPr>
          <w:fldChar w:fldCharType="separate"/>
        </w:r>
        <w:r>
          <w:rPr>
            <w:noProof/>
            <w:webHidden/>
          </w:rPr>
          <w:t>4</w:t>
        </w:r>
        <w:r>
          <w:rPr>
            <w:noProof/>
            <w:webHidden/>
          </w:rPr>
          <w:fldChar w:fldCharType="end"/>
        </w:r>
      </w:hyperlink>
    </w:p>
    <w:p w14:paraId="3959774F" w14:textId="76F2D7F5" w:rsidR="00874F08" w:rsidRDefault="00874F08">
      <w:pPr>
        <w:pStyle w:val="TOC1"/>
        <w:tabs>
          <w:tab w:val="left" w:pos="480"/>
          <w:tab w:val="right" w:leader="dot" w:pos="9016"/>
        </w:tabs>
        <w:rPr>
          <w:noProof/>
        </w:rPr>
      </w:pPr>
      <w:hyperlink w:anchor="_Toc229653103" w:history="1">
        <w:r w:rsidRPr="00F81D6A">
          <w:rPr>
            <w:rStyle w:val="Hyperlink"/>
            <w:rFonts w:eastAsia="Times New Roman"/>
            <w:bCs/>
            <w:noProof/>
            <w:lang w:eastAsia="en-GB"/>
          </w:rPr>
          <w:t>7.</w:t>
        </w:r>
        <w:r>
          <w:rPr>
            <w:noProof/>
          </w:rPr>
          <w:tab/>
        </w:r>
        <w:r w:rsidRPr="00F81D6A">
          <w:rPr>
            <w:rStyle w:val="Hyperlink"/>
            <w:rFonts w:eastAsia="Times New Roman"/>
            <w:noProof/>
            <w:lang w:eastAsia="en-GB"/>
          </w:rPr>
          <w:t>Actuarial Reduction Waiver Discretion</w:t>
        </w:r>
        <w:r>
          <w:rPr>
            <w:noProof/>
            <w:webHidden/>
          </w:rPr>
          <w:tab/>
        </w:r>
        <w:r>
          <w:rPr>
            <w:noProof/>
            <w:webHidden/>
          </w:rPr>
          <w:fldChar w:fldCharType="begin"/>
        </w:r>
        <w:r>
          <w:rPr>
            <w:noProof/>
            <w:webHidden/>
          </w:rPr>
          <w:instrText xml:space="preserve"> PAGEREF _Toc229653103 \h </w:instrText>
        </w:r>
        <w:r>
          <w:rPr>
            <w:noProof/>
            <w:webHidden/>
          </w:rPr>
        </w:r>
        <w:r>
          <w:rPr>
            <w:noProof/>
            <w:webHidden/>
          </w:rPr>
          <w:fldChar w:fldCharType="separate"/>
        </w:r>
        <w:r>
          <w:rPr>
            <w:noProof/>
            <w:webHidden/>
          </w:rPr>
          <w:t>4</w:t>
        </w:r>
        <w:r>
          <w:rPr>
            <w:noProof/>
            <w:webHidden/>
          </w:rPr>
          <w:fldChar w:fldCharType="end"/>
        </w:r>
      </w:hyperlink>
    </w:p>
    <w:p w14:paraId="3842F1FC" w14:textId="701C3662" w:rsidR="00874F08" w:rsidRDefault="00874F08">
      <w:pPr>
        <w:pStyle w:val="TOC2"/>
        <w:tabs>
          <w:tab w:val="right" w:leader="dot" w:pos="9016"/>
        </w:tabs>
        <w:rPr>
          <w:noProof/>
        </w:rPr>
      </w:pPr>
      <w:hyperlink w:anchor="_Toc229653104" w:history="1">
        <w:r w:rsidRPr="00F81D6A">
          <w:rPr>
            <w:rStyle w:val="Hyperlink"/>
            <w:rFonts w:eastAsia="Times New Roman"/>
            <w:noProof/>
            <w:lang w:eastAsia="en-GB"/>
          </w:rPr>
          <w:t>7.1 Waiving Actuarial Reductions</w:t>
        </w:r>
        <w:r>
          <w:rPr>
            <w:noProof/>
            <w:webHidden/>
          </w:rPr>
          <w:tab/>
        </w:r>
        <w:r>
          <w:rPr>
            <w:noProof/>
            <w:webHidden/>
          </w:rPr>
          <w:fldChar w:fldCharType="begin"/>
        </w:r>
        <w:r>
          <w:rPr>
            <w:noProof/>
            <w:webHidden/>
          </w:rPr>
          <w:instrText xml:space="preserve"> PAGEREF _Toc229653104 \h </w:instrText>
        </w:r>
        <w:r>
          <w:rPr>
            <w:noProof/>
            <w:webHidden/>
          </w:rPr>
        </w:r>
        <w:r>
          <w:rPr>
            <w:noProof/>
            <w:webHidden/>
          </w:rPr>
          <w:fldChar w:fldCharType="separate"/>
        </w:r>
        <w:r>
          <w:rPr>
            <w:noProof/>
            <w:webHidden/>
          </w:rPr>
          <w:t>4</w:t>
        </w:r>
        <w:r>
          <w:rPr>
            <w:noProof/>
            <w:webHidden/>
          </w:rPr>
          <w:fldChar w:fldCharType="end"/>
        </w:r>
      </w:hyperlink>
    </w:p>
    <w:p w14:paraId="7B4A13AE" w14:textId="319AE7CB" w:rsidR="00874F08" w:rsidRDefault="00874F08">
      <w:pPr>
        <w:pStyle w:val="TOC1"/>
        <w:tabs>
          <w:tab w:val="left" w:pos="480"/>
          <w:tab w:val="right" w:leader="dot" w:pos="9016"/>
        </w:tabs>
        <w:rPr>
          <w:noProof/>
        </w:rPr>
      </w:pPr>
      <w:hyperlink w:anchor="_Toc229653105" w:history="1">
        <w:r w:rsidRPr="00F81D6A">
          <w:rPr>
            <w:rStyle w:val="Hyperlink"/>
            <w:rFonts w:eastAsia="Times New Roman"/>
            <w:bCs/>
            <w:noProof/>
            <w:lang w:eastAsia="en-GB"/>
          </w:rPr>
          <w:t>8.</w:t>
        </w:r>
        <w:r>
          <w:rPr>
            <w:noProof/>
          </w:rPr>
          <w:tab/>
        </w:r>
        <w:r w:rsidRPr="00F81D6A">
          <w:rPr>
            <w:rStyle w:val="Hyperlink"/>
            <w:rFonts w:eastAsia="Times New Roman"/>
            <w:noProof/>
            <w:lang w:eastAsia="en-GB"/>
          </w:rPr>
          <w:t>Operational and Succession Planning Considerations</w:t>
        </w:r>
        <w:r>
          <w:rPr>
            <w:noProof/>
            <w:webHidden/>
          </w:rPr>
          <w:tab/>
        </w:r>
        <w:r>
          <w:rPr>
            <w:noProof/>
            <w:webHidden/>
          </w:rPr>
          <w:fldChar w:fldCharType="begin"/>
        </w:r>
        <w:r>
          <w:rPr>
            <w:noProof/>
            <w:webHidden/>
          </w:rPr>
          <w:instrText xml:space="preserve"> PAGEREF _Toc229653105 \h </w:instrText>
        </w:r>
        <w:r>
          <w:rPr>
            <w:noProof/>
            <w:webHidden/>
          </w:rPr>
        </w:r>
        <w:r>
          <w:rPr>
            <w:noProof/>
            <w:webHidden/>
          </w:rPr>
          <w:fldChar w:fldCharType="separate"/>
        </w:r>
        <w:r>
          <w:rPr>
            <w:noProof/>
            <w:webHidden/>
          </w:rPr>
          <w:t>4</w:t>
        </w:r>
        <w:r>
          <w:rPr>
            <w:noProof/>
            <w:webHidden/>
          </w:rPr>
          <w:fldChar w:fldCharType="end"/>
        </w:r>
      </w:hyperlink>
    </w:p>
    <w:p w14:paraId="63E1F0D2" w14:textId="0AB4852A" w:rsidR="00874F08" w:rsidRDefault="00874F08">
      <w:pPr>
        <w:pStyle w:val="TOC2"/>
        <w:tabs>
          <w:tab w:val="right" w:leader="dot" w:pos="9016"/>
        </w:tabs>
        <w:rPr>
          <w:noProof/>
        </w:rPr>
      </w:pPr>
      <w:hyperlink w:anchor="_Toc229653106" w:history="1">
        <w:r w:rsidRPr="00F81D6A">
          <w:rPr>
            <w:rStyle w:val="Hyperlink"/>
            <w:rFonts w:eastAsia="Times New Roman"/>
            <w:noProof/>
            <w:lang w:eastAsia="en-GB"/>
          </w:rPr>
          <w:t>8.1 Operational Review Criteria</w:t>
        </w:r>
        <w:r>
          <w:rPr>
            <w:noProof/>
            <w:webHidden/>
          </w:rPr>
          <w:tab/>
        </w:r>
        <w:r>
          <w:rPr>
            <w:noProof/>
            <w:webHidden/>
          </w:rPr>
          <w:fldChar w:fldCharType="begin"/>
        </w:r>
        <w:r>
          <w:rPr>
            <w:noProof/>
            <w:webHidden/>
          </w:rPr>
          <w:instrText xml:space="preserve"> PAGEREF _Toc229653106 \h </w:instrText>
        </w:r>
        <w:r>
          <w:rPr>
            <w:noProof/>
            <w:webHidden/>
          </w:rPr>
        </w:r>
        <w:r>
          <w:rPr>
            <w:noProof/>
            <w:webHidden/>
          </w:rPr>
          <w:fldChar w:fldCharType="separate"/>
        </w:r>
        <w:r>
          <w:rPr>
            <w:noProof/>
            <w:webHidden/>
          </w:rPr>
          <w:t>4</w:t>
        </w:r>
        <w:r>
          <w:rPr>
            <w:noProof/>
            <w:webHidden/>
          </w:rPr>
          <w:fldChar w:fldCharType="end"/>
        </w:r>
      </w:hyperlink>
    </w:p>
    <w:p w14:paraId="6DE096CE" w14:textId="2BED0E41" w:rsidR="00874F08" w:rsidRDefault="00874F08">
      <w:pPr>
        <w:pStyle w:val="TOC1"/>
        <w:tabs>
          <w:tab w:val="left" w:pos="480"/>
          <w:tab w:val="right" w:leader="dot" w:pos="9016"/>
        </w:tabs>
        <w:rPr>
          <w:noProof/>
        </w:rPr>
      </w:pPr>
      <w:hyperlink w:anchor="_Toc229653107" w:history="1">
        <w:r w:rsidRPr="00F81D6A">
          <w:rPr>
            <w:rStyle w:val="Hyperlink"/>
            <w:bCs/>
            <w:noProof/>
          </w:rPr>
          <w:t>9.</w:t>
        </w:r>
        <w:r>
          <w:rPr>
            <w:noProof/>
          </w:rPr>
          <w:tab/>
        </w:r>
        <w:r w:rsidRPr="00F81D6A">
          <w:rPr>
            <w:rStyle w:val="Hyperlink"/>
            <w:noProof/>
          </w:rPr>
          <w:t>Benefits of Flexible Retirement for Employees and the Council</w:t>
        </w:r>
        <w:r>
          <w:rPr>
            <w:noProof/>
            <w:webHidden/>
          </w:rPr>
          <w:tab/>
        </w:r>
        <w:r>
          <w:rPr>
            <w:noProof/>
            <w:webHidden/>
          </w:rPr>
          <w:fldChar w:fldCharType="begin"/>
        </w:r>
        <w:r>
          <w:rPr>
            <w:noProof/>
            <w:webHidden/>
          </w:rPr>
          <w:instrText xml:space="preserve"> PAGEREF _Toc229653107 \h </w:instrText>
        </w:r>
        <w:r>
          <w:rPr>
            <w:noProof/>
            <w:webHidden/>
          </w:rPr>
        </w:r>
        <w:r>
          <w:rPr>
            <w:noProof/>
            <w:webHidden/>
          </w:rPr>
          <w:fldChar w:fldCharType="separate"/>
        </w:r>
        <w:r>
          <w:rPr>
            <w:noProof/>
            <w:webHidden/>
          </w:rPr>
          <w:t>4</w:t>
        </w:r>
        <w:r>
          <w:rPr>
            <w:noProof/>
            <w:webHidden/>
          </w:rPr>
          <w:fldChar w:fldCharType="end"/>
        </w:r>
      </w:hyperlink>
    </w:p>
    <w:p w14:paraId="5C0659F7" w14:textId="3DA93E88" w:rsidR="00874F08" w:rsidRDefault="00874F08">
      <w:pPr>
        <w:pStyle w:val="TOC2"/>
        <w:tabs>
          <w:tab w:val="right" w:leader="dot" w:pos="9016"/>
        </w:tabs>
        <w:rPr>
          <w:noProof/>
        </w:rPr>
      </w:pPr>
      <w:hyperlink w:anchor="_Toc229653108" w:history="1">
        <w:r w:rsidRPr="00F81D6A">
          <w:rPr>
            <w:rStyle w:val="Hyperlink"/>
            <w:noProof/>
            <w:lang w:eastAsia="en-GB"/>
          </w:rPr>
          <w:t>9.1 For the Council</w:t>
        </w:r>
        <w:r>
          <w:rPr>
            <w:noProof/>
            <w:webHidden/>
          </w:rPr>
          <w:tab/>
        </w:r>
        <w:r>
          <w:rPr>
            <w:noProof/>
            <w:webHidden/>
          </w:rPr>
          <w:fldChar w:fldCharType="begin"/>
        </w:r>
        <w:r>
          <w:rPr>
            <w:noProof/>
            <w:webHidden/>
          </w:rPr>
          <w:instrText xml:space="preserve"> PAGEREF _Toc229653108 \h </w:instrText>
        </w:r>
        <w:r>
          <w:rPr>
            <w:noProof/>
            <w:webHidden/>
          </w:rPr>
        </w:r>
        <w:r>
          <w:rPr>
            <w:noProof/>
            <w:webHidden/>
          </w:rPr>
          <w:fldChar w:fldCharType="separate"/>
        </w:r>
        <w:r>
          <w:rPr>
            <w:noProof/>
            <w:webHidden/>
          </w:rPr>
          <w:t>4</w:t>
        </w:r>
        <w:r>
          <w:rPr>
            <w:noProof/>
            <w:webHidden/>
          </w:rPr>
          <w:fldChar w:fldCharType="end"/>
        </w:r>
      </w:hyperlink>
    </w:p>
    <w:p w14:paraId="7AB63FC1" w14:textId="01E05317" w:rsidR="00874F08" w:rsidRDefault="00874F08">
      <w:pPr>
        <w:pStyle w:val="TOC2"/>
        <w:tabs>
          <w:tab w:val="right" w:leader="dot" w:pos="9016"/>
        </w:tabs>
        <w:rPr>
          <w:noProof/>
        </w:rPr>
      </w:pPr>
      <w:hyperlink w:anchor="_Toc229653109" w:history="1">
        <w:r w:rsidRPr="00F81D6A">
          <w:rPr>
            <w:rStyle w:val="Hyperlink"/>
            <w:noProof/>
            <w:lang w:eastAsia="en-GB"/>
          </w:rPr>
          <w:t>9.2 For the Employee</w:t>
        </w:r>
        <w:r>
          <w:rPr>
            <w:noProof/>
            <w:webHidden/>
          </w:rPr>
          <w:tab/>
        </w:r>
        <w:r>
          <w:rPr>
            <w:noProof/>
            <w:webHidden/>
          </w:rPr>
          <w:fldChar w:fldCharType="begin"/>
        </w:r>
        <w:r>
          <w:rPr>
            <w:noProof/>
            <w:webHidden/>
          </w:rPr>
          <w:instrText xml:space="preserve"> PAGEREF _Toc229653109 \h </w:instrText>
        </w:r>
        <w:r>
          <w:rPr>
            <w:noProof/>
            <w:webHidden/>
          </w:rPr>
        </w:r>
        <w:r>
          <w:rPr>
            <w:noProof/>
            <w:webHidden/>
          </w:rPr>
          <w:fldChar w:fldCharType="separate"/>
        </w:r>
        <w:r>
          <w:rPr>
            <w:noProof/>
            <w:webHidden/>
          </w:rPr>
          <w:t>4</w:t>
        </w:r>
        <w:r>
          <w:rPr>
            <w:noProof/>
            <w:webHidden/>
          </w:rPr>
          <w:fldChar w:fldCharType="end"/>
        </w:r>
      </w:hyperlink>
    </w:p>
    <w:p w14:paraId="3CB8C5F3" w14:textId="5A23EB37" w:rsidR="00874F08" w:rsidRDefault="00874F08">
      <w:pPr>
        <w:pStyle w:val="TOC1"/>
        <w:tabs>
          <w:tab w:val="left" w:pos="720"/>
          <w:tab w:val="right" w:leader="dot" w:pos="9016"/>
        </w:tabs>
        <w:rPr>
          <w:noProof/>
        </w:rPr>
      </w:pPr>
      <w:hyperlink w:anchor="_Toc229653110" w:history="1">
        <w:r w:rsidRPr="00F81D6A">
          <w:rPr>
            <w:rStyle w:val="Hyperlink"/>
            <w:rFonts w:eastAsia="Times New Roman"/>
            <w:bCs/>
            <w:noProof/>
            <w:lang w:eastAsia="en-GB"/>
          </w:rPr>
          <w:t>10.</w:t>
        </w:r>
        <w:r>
          <w:rPr>
            <w:noProof/>
          </w:rPr>
          <w:tab/>
        </w:r>
        <w:r w:rsidRPr="00F81D6A">
          <w:rPr>
            <w:rStyle w:val="Hyperlink"/>
            <w:rFonts w:eastAsia="Times New Roman"/>
            <w:noProof/>
            <w:lang w:eastAsia="en-GB"/>
          </w:rPr>
          <w:t>Communication and Documentation</w:t>
        </w:r>
        <w:r>
          <w:rPr>
            <w:noProof/>
            <w:webHidden/>
          </w:rPr>
          <w:tab/>
        </w:r>
        <w:r>
          <w:rPr>
            <w:noProof/>
            <w:webHidden/>
          </w:rPr>
          <w:fldChar w:fldCharType="begin"/>
        </w:r>
        <w:r>
          <w:rPr>
            <w:noProof/>
            <w:webHidden/>
          </w:rPr>
          <w:instrText xml:space="preserve"> PAGEREF _Toc229653110 \h </w:instrText>
        </w:r>
        <w:r>
          <w:rPr>
            <w:noProof/>
            <w:webHidden/>
          </w:rPr>
        </w:r>
        <w:r>
          <w:rPr>
            <w:noProof/>
            <w:webHidden/>
          </w:rPr>
          <w:fldChar w:fldCharType="separate"/>
        </w:r>
        <w:r>
          <w:rPr>
            <w:noProof/>
            <w:webHidden/>
          </w:rPr>
          <w:t>4</w:t>
        </w:r>
        <w:r>
          <w:rPr>
            <w:noProof/>
            <w:webHidden/>
          </w:rPr>
          <w:fldChar w:fldCharType="end"/>
        </w:r>
      </w:hyperlink>
    </w:p>
    <w:p w14:paraId="178ED86A" w14:textId="337C21C1" w:rsidR="00874F08" w:rsidRDefault="00874F08">
      <w:pPr>
        <w:pStyle w:val="TOC2"/>
        <w:tabs>
          <w:tab w:val="right" w:leader="dot" w:pos="9016"/>
        </w:tabs>
        <w:rPr>
          <w:noProof/>
        </w:rPr>
      </w:pPr>
      <w:hyperlink w:anchor="_Toc229653111" w:history="1">
        <w:r w:rsidRPr="00F81D6A">
          <w:rPr>
            <w:rStyle w:val="Hyperlink"/>
            <w:noProof/>
            <w:lang w:eastAsia="en-GB"/>
          </w:rPr>
          <w:t>10.1 Employee Notification</w:t>
        </w:r>
        <w:r>
          <w:rPr>
            <w:noProof/>
            <w:webHidden/>
          </w:rPr>
          <w:tab/>
        </w:r>
        <w:r>
          <w:rPr>
            <w:noProof/>
            <w:webHidden/>
          </w:rPr>
          <w:fldChar w:fldCharType="begin"/>
        </w:r>
        <w:r>
          <w:rPr>
            <w:noProof/>
            <w:webHidden/>
          </w:rPr>
          <w:instrText xml:space="preserve"> PAGEREF _Toc229653111 \h </w:instrText>
        </w:r>
        <w:r>
          <w:rPr>
            <w:noProof/>
            <w:webHidden/>
          </w:rPr>
        </w:r>
        <w:r>
          <w:rPr>
            <w:noProof/>
            <w:webHidden/>
          </w:rPr>
          <w:fldChar w:fldCharType="separate"/>
        </w:r>
        <w:r>
          <w:rPr>
            <w:noProof/>
            <w:webHidden/>
          </w:rPr>
          <w:t>4</w:t>
        </w:r>
        <w:r>
          <w:rPr>
            <w:noProof/>
            <w:webHidden/>
          </w:rPr>
          <w:fldChar w:fldCharType="end"/>
        </w:r>
      </w:hyperlink>
    </w:p>
    <w:p w14:paraId="5E112BE1" w14:textId="5B77A76F" w:rsidR="00874F08" w:rsidRDefault="00874F08">
      <w:pPr>
        <w:pStyle w:val="TOC2"/>
        <w:tabs>
          <w:tab w:val="left" w:pos="960"/>
          <w:tab w:val="right" w:leader="dot" w:pos="9016"/>
        </w:tabs>
        <w:rPr>
          <w:noProof/>
        </w:rPr>
      </w:pPr>
      <w:hyperlink w:anchor="_Toc229653112" w:history="1">
        <w:r w:rsidRPr="00F81D6A">
          <w:rPr>
            <w:rStyle w:val="Hyperlink"/>
            <w:noProof/>
            <w:lang w:eastAsia="en-GB"/>
          </w:rPr>
          <w:t>10.2</w:t>
        </w:r>
        <w:r>
          <w:rPr>
            <w:noProof/>
          </w:rPr>
          <w:tab/>
        </w:r>
        <w:r w:rsidRPr="00F81D6A">
          <w:rPr>
            <w:rStyle w:val="Hyperlink"/>
            <w:noProof/>
            <w:lang w:eastAsia="en-GB"/>
          </w:rPr>
          <w:t>Contractual Documentation</w:t>
        </w:r>
        <w:r>
          <w:rPr>
            <w:noProof/>
            <w:webHidden/>
          </w:rPr>
          <w:tab/>
        </w:r>
        <w:r>
          <w:rPr>
            <w:noProof/>
            <w:webHidden/>
          </w:rPr>
          <w:fldChar w:fldCharType="begin"/>
        </w:r>
        <w:r>
          <w:rPr>
            <w:noProof/>
            <w:webHidden/>
          </w:rPr>
          <w:instrText xml:space="preserve"> PAGEREF _Toc229653112 \h </w:instrText>
        </w:r>
        <w:r>
          <w:rPr>
            <w:noProof/>
            <w:webHidden/>
          </w:rPr>
        </w:r>
        <w:r>
          <w:rPr>
            <w:noProof/>
            <w:webHidden/>
          </w:rPr>
          <w:fldChar w:fldCharType="separate"/>
        </w:r>
        <w:r>
          <w:rPr>
            <w:noProof/>
            <w:webHidden/>
          </w:rPr>
          <w:t>5</w:t>
        </w:r>
        <w:r>
          <w:rPr>
            <w:noProof/>
            <w:webHidden/>
          </w:rPr>
          <w:fldChar w:fldCharType="end"/>
        </w:r>
      </w:hyperlink>
    </w:p>
    <w:p w14:paraId="53CD3A9E" w14:textId="16BBB8EE" w:rsidR="00874F08" w:rsidRDefault="00874F08">
      <w:pPr>
        <w:pStyle w:val="TOC1"/>
        <w:tabs>
          <w:tab w:val="left" w:pos="720"/>
          <w:tab w:val="right" w:leader="dot" w:pos="9016"/>
        </w:tabs>
        <w:rPr>
          <w:noProof/>
        </w:rPr>
      </w:pPr>
      <w:hyperlink w:anchor="_Toc229653113" w:history="1">
        <w:r w:rsidRPr="00F81D6A">
          <w:rPr>
            <w:rStyle w:val="Hyperlink"/>
            <w:bCs/>
            <w:noProof/>
          </w:rPr>
          <w:t>11.</w:t>
        </w:r>
        <w:r>
          <w:rPr>
            <w:noProof/>
          </w:rPr>
          <w:tab/>
        </w:r>
        <w:r w:rsidRPr="00F81D6A">
          <w:rPr>
            <w:rStyle w:val="Hyperlink"/>
            <w:noProof/>
          </w:rPr>
          <w:t>Appeals Process</w:t>
        </w:r>
        <w:r>
          <w:rPr>
            <w:noProof/>
            <w:webHidden/>
          </w:rPr>
          <w:tab/>
        </w:r>
        <w:r>
          <w:rPr>
            <w:noProof/>
            <w:webHidden/>
          </w:rPr>
          <w:fldChar w:fldCharType="begin"/>
        </w:r>
        <w:r>
          <w:rPr>
            <w:noProof/>
            <w:webHidden/>
          </w:rPr>
          <w:instrText xml:space="preserve"> PAGEREF _Toc229653113 \h </w:instrText>
        </w:r>
        <w:r>
          <w:rPr>
            <w:noProof/>
            <w:webHidden/>
          </w:rPr>
        </w:r>
        <w:r>
          <w:rPr>
            <w:noProof/>
            <w:webHidden/>
          </w:rPr>
          <w:fldChar w:fldCharType="separate"/>
        </w:r>
        <w:r>
          <w:rPr>
            <w:noProof/>
            <w:webHidden/>
          </w:rPr>
          <w:t>5</w:t>
        </w:r>
        <w:r>
          <w:rPr>
            <w:noProof/>
            <w:webHidden/>
          </w:rPr>
          <w:fldChar w:fldCharType="end"/>
        </w:r>
      </w:hyperlink>
    </w:p>
    <w:p w14:paraId="034E9E1D" w14:textId="64D426F0" w:rsidR="00874F08" w:rsidRDefault="00874F08">
      <w:pPr>
        <w:pStyle w:val="TOC2"/>
        <w:tabs>
          <w:tab w:val="right" w:leader="dot" w:pos="9016"/>
        </w:tabs>
        <w:rPr>
          <w:noProof/>
        </w:rPr>
      </w:pPr>
      <w:hyperlink w:anchor="_Toc229653114" w:history="1">
        <w:r w:rsidRPr="00F81D6A">
          <w:rPr>
            <w:rStyle w:val="Hyperlink"/>
            <w:noProof/>
            <w:lang w:eastAsia="en-GB"/>
          </w:rPr>
          <w:t>11.1 Appeal Submission</w:t>
        </w:r>
        <w:r>
          <w:rPr>
            <w:noProof/>
            <w:webHidden/>
          </w:rPr>
          <w:tab/>
        </w:r>
        <w:r>
          <w:rPr>
            <w:noProof/>
            <w:webHidden/>
          </w:rPr>
          <w:fldChar w:fldCharType="begin"/>
        </w:r>
        <w:r>
          <w:rPr>
            <w:noProof/>
            <w:webHidden/>
          </w:rPr>
          <w:instrText xml:space="preserve"> PAGEREF _Toc229653114 \h </w:instrText>
        </w:r>
        <w:r>
          <w:rPr>
            <w:noProof/>
            <w:webHidden/>
          </w:rPr>
        </w:r>
        <w:r>
          <w:rPr>
            <w:noProof/>
            <w:webHidden/>
          </w:rPr>
          <w:fldChar w:fldCharType="separate"/>
        </w:r>
        <w:r>
          <w:rPr>
            <w:noProof/>
            <w:webHidden/>
          </w:rPr>
          <w:t>5</w:t>
        </w:r>
        <w:r>
          <w:rPr>
            <w:noProof/>
            <w:webHidden/>
          </w:rPr>
          <w:fldChar w:fldCharType="end"/>
        </w:r>
      </w:hyperlink>
    </w:p>
    <w:p w14:paraId="7A14626C" w14:textId="65186008" w:rsidR="00874F08" w:rsidRDefault="00874F08">
      <w:pPr>
        <w:pStyle w:val="TOC2"/>
        <w:tabs>
          <w:tab w:val="right" w:leader="dot" w:pos="9016"/>
        </w:tabs>
        <w:rPr>
          <w:noProof/>
        </w:rPr>
      </w:pPr>
      <w:hyperlink w:anchor="_Toc229653115" w:history="1">
        <w:r w:rsidRPr="00F81D6A">
          <w:rPr>
            <w:rStyle w:val="Hyperlink"/>
            <w:noProof/>
            <w:lang w:eastAsia="en-GB"/>
          </w:rPr>
          <w:t>11.2 Appeals Sub-Committee Review</w:t>
        </w:r>
        <w:r>
          <w:rPr>
            <w:noProof/>
            <w:webHidden/>
          </w:rPr>
          <w:tab/>
        </w:r>
        <w:r>
          <w:rPr>
            <w:noProof/>
            <w:webHidden/>
          </w:rPr>
          <w:fldChar w:fldCharType="begin"/>
        </w:r>
        <w:r>
          <w:rPr>
            <w:noProof/>
            <w:webHidden/>
          </w:rPr>
          <w:instrText xml:space="preserve"> PAGEREF _Toc229653115 \h </w:instrText>
        </w:r>
        <w:r>
          <w:rPr>
            <w:noProof/>
            <w:webHidden/>
          </w:rPr>
        </w:r>
        <w:r>
          <w:rPr>
            <w:noProof/>
            <w:webHidden/>
          </w:rPr>
          <w:fldChar w:fldCharType="separate"/>
        </w:r>
        <w:r>
          <w:rPr>
            <w:noProof/>
            <w:webHidden/>
          </w:rPr>
          <w:t>5</w:t>
        </w:r>
        <w:r>
          <w:rPr>
            <w:noProof/>
            <w:webHidden/>
          </w:rPr>
          <w:fldChar w:fldCharType="end"/>
        </w:r>
      </w:hyperlink>
    </w:p>
    <w:p w14:paraId="7B10C9A9" w14:textId="08EEB4EF" w:rsidR="00874F08" w:rsidRDefault="00874F08">
      <w:pPr>
        <w:pStyle w:val="TOC1"/>
        <w:tabs>
          <w:tab w:val="left" w:pos="720"/>
          <w:tab w:val="right" w:leader="dot" w:pos="9016"/>
        </w:tabs>
        <w:rPr>
          <w:noProof/>
        </w:rPr>
      </w:pPr>
      <w:hyperlink w:anchor="_Toc229653116" w:history="1">
        <w:r w:rsidRPr="00F81D6A">
          <w:rPr>
            <w:rStyle w:val="Hyperlink"/>
            <w:bCs/>
            <w:noProof/>
          </w:rPr>
          <w:t>12.</w:t>
        </w:r>
        <w:r>
          <w:rPr>
            <w:noProof/>
          </w:rPr>
          <w:tab/>
        </w:r>
        <w:r w:rsidRPr="00F81D6A">
          <w:rPr>
            <w:rStyle w:val="Hyperlink"/>
            <w:noProof/>
          </w:rPr>
          <w:t>Legal and Financial Considerations</w:t>
        </w:r>
        <w:r>
          <w:rPr>
            <w:noProof/>
            <w:webHidden/>
          </w:rPr>
          <w:tab/>
        </w:r>
        <w:r>
          <w:rPr>
            <w:noProof/>
            <w:webHidden/>
          </w:rPr>
          <w:fldChar w:fldCharType="begin"/>
        </w:r>
        <w:r>
          <w:rPr>
            <w:noProof/>
            <w:webHidden/>
          </w:rPr>
          <w:instrText xml:space="preserve"> PAGEREF _Toc229653116 \h </w:instrText>
        </w:r>
        <w:r>
          <w:rPr>
            <w:noProof/>
            <w:webHidden/>
          </w:rPr>
        </w:r>
        <w:r>
          <w:rPr>
            <w:noProof/>
            <w:webHidden/>
          </w:rPr>
          <w:fldChar w:fldCharType="separate"/>
        </w:r>
        <w:r>
          <w:rPr>
            <w:noProof/>
            <w:webHidden/>
          </w:rPr>
          <w:t>5</w:t>
        </w:r>
        <w:r>
          <w:rPr>
            <w:noProof/>
            <w:webHidden/>
          </w:rPr>
          <w:fldChar w:fldCharType="end"/>
        </w:r>
      </w:hyperlink>
    </w:p>
    <w:p w14:paraId="4E15560C" w14:textId="3BBC0B55" w:rsidR="00874F08" w:rsidRDefault="00874F08">
      <w:pPr>
        <w:pStyle w:val="TOC2"/>
        <w:tabs>
          <w:tab w:val="right" w:leader="dot" w:pos="9016"/>
        </w:tabs>
        <w:rPr>
          <w:noProof/>
        </w:rPr>
      </w:pPr>
      <w:hyperlink w:anchor="_Toc229653117" w:history="1">
        <w:r w:rsidRPr="00F81D6A">
          <w:rPr>
            <w:rStyle w:val="Hyperlink"/>
            <w:noProof/>
          </w:rPr>
          <w:t>12.1 Non-Discrimination</w:t>
        </w:r>
        <w:r>
          <w:rPr>
            <w:noProof/>
            <w:webHidden/>
          </w:rPr>
          <w:tab/>
        </w:r>
        <w:r>
          <w:rPr>
            <w:noProof/>
            <w:webHidden/>
          </w:rPr>
          <w:fldChar w:fldCharType="begin"/>
        </w:r>
        <w:r>
          <w:rPr>
            <w:noProof/>
            <w:webHidden/>
          </w:rPr>
          <w:instrText xml:space="preserve"> PAGEREF _Toc229653117 \h </w:instrText>
        </w:r>
        <w:r>
          <w:rPr>
            <w:noProof/>
            <w:webHidden/>
          </w:rPr>
        </w:r>
        <w:r>
          <w:rPr>
            <w:noProof/>
            <w:webHidden/>
          </w:rPr>
          <w:fldChar w:fldCharType="separate"/>
        </w:r>
        <w:r>
          <w:rPr>
            <w:noProof/>
            <w:webHidden/>
          </w:rPr>
          <w:t>5</w:t>
        </w:r>
        <w:r>
          <w:rPr>
            <w:noProof/>
            <w:webHidden/>
          </w:rPr>
          <w:fldChar w:fldCharType="end"/>
        </w:r>
      </w:hyperlink>
    </w:p>
    <w:p w14:paraId="2392FBBA" w14:textId="2E4AD33A" w:rsidR="00874F08" w:rsidRDefault="00874F08">
      <w:pPr>
        <w:pStyle w:val="TOC2"/>
        <w:tabs>
          <w:tab w:val="right" w:leader="dot" w:pos="9016"/>
        </w:tabs>
        <w:rPr>
          <w:noProof/>
        </w:rPr>
      </w:pPr>
      <w:hyperlink w:anchor="_Toc229653118" w:history="1">
        <w:r w:rsidRPr="00F81D6A">
          <w:rPr>
            <w:rStyle w:val="Hyperlink"/>
            <w:rFonts w:eastAsia="Times New Roman"/>
            <w:noProof/>
            <w:lang w:eastAsia="en-GB"/>
          </w:rPr>
          <w:t>12.2 Financial Implications</w:t>
        </w:r>
        <w:r>
          <w:rPr>
            <w:noProof/>
            <w:webHidden/>
          </w:rPr>
          <w:tab/>
        </w:r>
        <w:r>
          <w:rPr>
            <w:noProof/>
            <w:webHidden/>
          </w:rPr>
          <w:fldChar w:fldCharType="begin"/>
        </w:r>
        <w:r>
          <w:rPr>
            <w:noProof/>
            <w:webHidden/>
          </w:rPr>
          <w:instrText xml:space="preserve"> PAGEREF _Toc229653118 \h </w:instrText>
        </w:r>
        <w:r>
          <w:rPr>
            <w:noProof/>
            <w:webHidden/>
          </w:rPr>
        </w:r>
        <w:r>
          <w:rPr>
            <w:noProof/>
            <w:webHidden/>
          </w:rPr>
          <w:fldChar w:fldCharType="separate"/>
        </w:r>
        <w:r>
          <w:rPr>
            <w:noProof/>
            <w:webHidden/>
          </w:rPr>
          <w:t>5</w:t>
        </w:r>
        <w:r>
          <w:rPr>
            <w:noProof/>
            <w:webHidden/>
          </w:rPr>
          <w:fldChar w:fldCharType="end"/>
        </w:r>
      </w:hyperlink>
    </w:p>
    <w:p w14:paraId="58CFE197" w14:textId="246DB2B4" w:rsidR="00874F08" w:rsidRDefault="00874F08">
      <w:pPr>
        <w:pStyle w:val="TOC2"/>
        <w:tabs>
          <w:tab w:val="right" w:leader="dot" w:pos="9016"/>
        </w:tabs>
        <w:rPr>
          <w:noProof/>
        </w:rPr>
      </w:pPr>
      <w:hyperlink w:anchor="_Toc229653119" w:history="1">
        <w:r w:rsidRPr="00F81D6A">
          <w:rPr>
            <w:rStyle w:val="Hyperlink"/>
            <w:rFonts w:eastAsia="Times New Roman"/>
            <w:noProof/>
            <w:lang w:eastAsia="en-GB"/>
          </w:rPr>
          <w:t>12.3 Tax and NI Considerations</w:t>
        </w:r>
        <w:r>
          <w:rPr>
            <w:noProof/>
            <w:webHidden/>
          </w:rPr>
          <w:tab/>
        </w:r>
        <w:r>
          <w:rPr>
            <w:noProof/>
            <w:webHidden/>
          </w:rPr>
          <w:fldChar w:fldCharType="begin"/>
        </w:r>
        <w:r>
          <w:rPr>
            <w:noProof/>
            <w:webHidden/>
          </w:rPr>
          <w:instrText xml:space="preserve"> PAGEREF _Toc229653119 \h </w:instrText>
        </w:r>
        <w:r>
          <w:rPr>
            <w:noProof/>
            <w:webHidden/>
          </w:rPr>
        </w:r>
        <w:r>
          <w:rPr>
            <w:noProof/>
            <w:webHidden/>
          </w:rPr>
          <w:fldChar w:fldCharType="separate"/>
        </w:r>
        <w:r>
          <w:rPr>
            <w:noProof/>
            <w:webHidden/>
          </w:rPr>
          <w:t>5</w:t>
        </w:r>
        <w:r>
          <w:rPr>
            <w:noProof/>
            <w:webHidden/>
          </w:rPr>
          <w:fldChar w:fldCharType="end"/>
        </w:r>
      </w:hyperlink>
    </w:p>
    <w:p w14:paraId="3A0E4196" w14:textId="42C0FC44" w:rsidR="00874F08" w:rsidRDefault="00874F08">
      <w:pPr>
        <w:pStyle w:val="TOC1"/>
        <w:tabs>
          <w:tab w:val="left" w:pos="720"/>
          <w:tab w:val="right" w:leader="dot" w:pos="9016"/>
        </w:tabs>
        <w:rPr>
          <w:noProof/>
        </w:rPr>
      </w:pPr>
      <w:hyperlink w:anchor="_Toc229653120" w:history="1">
        <w:r w:rsidRPr="00F81D6A">
          <w:rPr>
            <w:rStyle w:val="Hyperlink"/>
            <w:bCs/>
            <w:noProof/>
          </w:rPr>
          <w:t>13.</w:t>
        </w:r>
        <w:r>
          <w:rPr>
            <w:noProof/>
          </w:rPr>
          <w:tab/>
        </w:r>
        <w:r w:rsidRPr="00F81D6A">
          <w:rPr>
            <w:rStyle w:val="Hyperlink"/>
            <w:noProof/>
          </w:rPr>
          <w:t>Ongoing Support</w:t>
        </w:r>
        <w:r>
          <w:rPr>
            <w:noProof/>
            <w:webHidden/>
          </w:rPr>
          <w:tab/>
        </w:r>
        <w:r>
          <w:rPr>
            <w:noProof/>
            <w:webHidden/>
          </w:rPr>
          <w:fldChar w:fldCharType="begin"/>
        </w:r>
        <w:r>
          <w:rPr>
            <w:noProof/>
            <w:webHidden/>
          </w:rPr>
          <w:instrText xml:space="preserve"> PAGEREF _Toc229653120 \h </w:instrText>
        </w:r>
        <w:r>
          <w:rPr>
            <w:noProof/>
            <w:webHidden/>
          </w:rPr>
        </w:r>
        <w:r>
          <w:rPr>
            <w:noProof/>
            <w:webHidden/>
          </w:rPr>
          <w:fldChar w:fldCharType="separate"/>
        </w:r>
        <w:r>
          <w:rPr>
            <w:noProof/>
            <w:webHidden/>
          </w:rPr>
          <w:t>5</w:t>
        </w:r>
        <w:r>
          <w:rPr>
            <w:noProof/>
            <w:webHidden/>
          </w:rPr>
          <w:fldChar w:fldCharType="end"/>
        </w:r>
      </w:hyperlink>
    </w:p>
    <w:p w14:paraId="4FF6E844" w14:textId="4599A3A7" w:rsidR="00874F08" w:rsidRDefault="00874F08">
      <w:pPr>
        <w:pStyle w:val="TOC1"/>
        <w:tabs>
          <w:tab w:val="left" w:pos="720"/>
          <w:tab w:val="right" w:leader="dot" w:pos="9016"/>
        </w:tabs>
        <w:rPr>
          <w:noProof/>
        </w:rPr>
      </w:pPr>
      <w:hyperlink w:anchor="_Toc229653121" w:history="1">
        <w:r w:rsidRPr="00F81D6A">
          <w:rPr>
            <w:rStyle w:val="Hyperlink"/>
            <w:bCs/>
            <w:noProof/>
          </w:rPr>
          <w:t>14.</w:t>
        </w:r>
        <w:r>
          <w:rPr>
            <w:noProof/>
          </w:rPr>
          <w:tab/>
        </w:r>
        <w:r w:rsidRPr="00F81D6A">
          <w:rPr>
            <w:rStyle w:val="Hyperlink"/>
            <w:noProof/>
          </w:rPr>
          <w:t>Monitoring and review of the policy</w:t>
        </w:r>
        <w:r>
          <w:rPr>
            <w:noProof/>
            <w:webHidden/>
          </w:rPr>
          <w:tab/>
        </w:r>
        <w:r>
          <w:rPr>
            <w:noProof/>
            <w:webHidden/>
          </w:rPr>
          <w:fldChar w:fldCharType="begin"/>
        </w:r>
        <w:r>
          <w:rPr>
            <w:noProof/>
            <w:webHidden/>
          </w:rPr>
          <w:instrText xml:space="preserve"> PAGEREF _Toc229653121 \h </w:instrText>
        </w:r>
        <w:r>
          <w:rPr>
            <w:noProof/>
            <w:webHidden/>
          </w:rPr>
        </w:r>
        <w:r>
          <w:rPr>
            <w:noProof/>
            <w:webHidden/>
          </w:rPr>
          <w:fldChar w:fldCharType="separate"/>
        </w:r>
        <w:r>
          <w:rPr>
            <w:noProof/>
            <w:webHidden/>
          </w:rPr>
          <w:t>5</w:t>
        </w:r>
        <w:r>
          <w:rPr>
            <w:noProof/>
            <w:webHidden/>
          </w:rPr>
          <w:fldChar w:fldCharType="end"/>
        </w:r>
      </w:hyperlink>
    </w:p>
    <w:p w14:paraId="4221F36C" w14:textId="4E394B33" w:rsidR="00874F08" w:rsidRDefault="00874F08">
      <w:pPr>
        <w:rPr>
          <w:rFonts w:eastAsiaTheme="majorEastAsia" w:cstheme="majorBidi"/>
          <w:b/>
          <w:szCs w:val="40"/>
        </w:rPr>
      </w:pPr>
      <w:r>
        <w:fldChar w:fldCharType="end"/>
      </w:r>
      <w:r>
        <w:br w:type="page"/>
      </w:r>
    </w:p>
    <w:p w14:paraId="5C1DD46A" w14:textId="3559691B" w:rsidR="003B49EC" w:rsidRDefault="003B49EC">
      <w:pPr>
        <w:pStyle w:val="Heading1"/>
        <w:numPr>
          <w:ilvl w:val="0"/>
          <w:numId w:val="9"/>
        </w:numPr>
      </w:pPr>
      <w:bookmarkStart w:id="0" w:name="_Toc229653092"/>
      <w:r>
        <w:lastRenderedPageBreak/>
        <w:t>Introduction and Background</w:t>
      </w:r>
      <w:bookmarkEnd w:id="0"/>
      <w:r>
        <w:t xml:space="preserve"> </w:t>
      </w:r>
    </w:p>
    <w:p w14:paraId="353E309F" w14:textId="0340F365" w:rsidR="003B49EC" w:rsidRDefault="003B49EC" w:rsidP="003850DB">
      <w:r>
        <w:t xml:space="preserve">All employees of the Town Council are eligible to participate in the Local Government Pension Scheme, which is a defined benefit pension scheme. </w:t>
      </w:r>
    </w:p>
    <w:p w14:paraId="22710799" w14:textId="666AB47F" w:rsidR="003B49EC" w:rsidRDefault="003B49EC" w:rsidP="003850DB">
      <w:r>
        <w:t xml:space="preserve">A defined benefit pension scheme is one where the scheme rules define the benefits payable to members independently of the contributions payable, and the scheme may be funded or unfunded. </w:t>
      </w:r>
    </w:p>
    <w:p w14:paraId="78683AC1" w14:textId="43046007" w:rsidR="003B49EC" w:rsidRDefault="003B49EC" w:rsidP="003850DB">
      <w:r>
        <w:t>The Administering Authority for the Local Government Pension Scheme in Northumberland is South Tyneside Council</w:t>
      </w:r>
      <w:r w:rsidR="0069358D">
        <w:t>, on behalf of Northumberland County Council.</w:t>
      </w:r>
      <w:r>
        <w:t xml:space="preserve"> </w:t>
      </w:r>
    </w:p>
    <w:p w14:paraId="737C4CC2" w14:textId="75D141EF" w:rsidR="003B49EC" w:rsidRDefault="0069358D" w:rsidP="003850DB">
      <w:r>
        <w:t>Northumberland County</w:t>
      </w:r>
      <w:r w:rsidR="003B49EC">
        <w:t xml:space="preserve"> Council operates the scheme in accordance with the various pensions regulations as follows: </w:t>
      </w:r>
    </w:p>
    <w:p w14:paraId="5B8A49A5" w14:textId="71B1F5C5" w:rsidR="003B49EC" w:rsidRDefault="003B49EC">
      <w:pPr>
        <w:pStyle w:val="ListParagraph"/>
        <w:numPr>
          <w:ilvl w:val="0"/>
          <w:numId w:val="10"/>
        </w:numPr>
      </w:pPr>
      <w:r>
        <w:t xml:space="preserve">Local Government Pension Scheme (Administration) Regulations 2008 </w:t>
      </w:r>
    </w:p>
    <w:p w14:paraId="7CED18DE" w14:textId="38AA9FB2" w:rsidR="003B49EC" w:rsidRDefault="003B49EC">
      <w:pPr>
        <w:pStyle w:val="ListParagraph"/>
        <w:numPr>
          <w:ilvl w:val="0"/>
          <w:numId w:val="10"/>
        </w:numPr>
      </w:pPr>
      <w:r>
        <w:t>The  Local  Government  Pension  Scheme  (Transitional  Provisions  and  Savings) Regulations 2014</w:t>
      </w:r>
    </w:p>
    <w:p w14:paraId="7CFA5F8D" w14:textId="2FCA4975" w:rsidR="003B49EC" w:rsidRDefault="003B49EC">
      <w:pPr>
        <w:pStyle w:val="ListParagraph"/>
        <w:numPr>
          <w:ilvl w:val="0"/>
          <w:numId w:val="10"/>
        </w:numPr>
      </w:pPr>
      <w:r>
        <w:t>The Local Government Pension Scheme Regulations 2013</w:t>
      </w:r>
    </w:p>
    <w:p w14:paraId="339EE707" w14:textId="7E70EBD6" w:rsidR="003B49EC" w:rsidRDefault="003B49EC" w:rsidP="003850DB">
      <w:r>
        <w:t xml:space="preserve">Employers and employees participating in the Pension Scheme will pay contributions and receive benefits in accordance with the requirements of these regulations and the rules and requirements of the Local Government Pension Scheme. </w:t>
      </w:r>
    </w:p>
    <w:p w14:paraId="37EF3407" w14:textId="0A90BC9E" w:rsidR="003B49EC" w:rsidRDefault="003B49EC" w:rsidP="003850DB">
      <w:r>
        <w:t>Employers’ and employees’ contributions are determined by the Pension Fund actuary on a triennial basis</w:t>
      </w:r>
      <w:r w:rsidR="003850DB">
        <w:t xml:space="preserve"> </w:t>
      </w:r>
      <w:r>
        <w:t>and</w:t>
      </w:r>
      <w:r w:rsidR="003850DB">
        <w:t xml:space="preserve"> </w:t>
      </w:r>
      <w:r>
        <w:t>are</w:t>
      </w:r>
      <w:r w:rsidR="003850DB">
        <w:t xml:space="preserve"> </w:t>
      </w:r>
      <w:r>
        <w:t>set</w:t>
      </w:r>
      <w:r w:rsidR="003850DB">
        <w:t xml:space="preserve"> </w:t>
      </w:r>
      <w:r>
        <w:t>to</w:t>
      </w:r>
      <w:r w:rsidR="003850DB">
        <w:t xml:space="preserve"> </w:t>
      </w:r>
      <w:r>
        <w:t>meet</w:t>
      </w:r>
      <w:r w:rsidR="003850DB">
        <w:t xml:space="preserve"> </w:t>
      </w:r>
      <w:r>
        <w:t>100%</w:t>
      </w:r>
      <w:r w:rsidR="0069358D">
        <w:t xml:space="preserve"> </w:t>
      </w:r>
      <w:r>
        <w:t>of</w:t>
      </w:r>
      <w:r w:rsidR="0069358D">
        <w:t xml:space="preserve"> </w:t>
      </w:r>
      <w:r>
        <w:t>the</w:t>
      </w:r>
      <w:r w:rsidR="003850DB">
        <w:t xml:space="preserve"> </w:t>
      </w:r>
      <w:r>
        <w:t>liabilities</w:t>
      </w:r>
      <w:r w:rsidR="0069358D">
        <w:t xml:space="preserve"> </w:t>
      </w:r>
      <w:r>
        <w:t>of</w:t>
      </w:r>
      <w:r w:rsidR="0069358D">
        <w:t xml:space="preserve"> </w:t>
      </w:r>
      <w:r>
        <w:t>the</w:t>
      </w:r>
      <w:r w:rsidR="003850DB">
        <w:t xml:space="preserve"> </w:t>
      </w:r>
      <w:r>
        <w:t>Fund,</w:t>
      </w:r>
      <w:r w:rsidR="0069358D">
        <w:t xml:space="preserve"> </w:t>
      </w:r>
      <w:r>
        <w:t>in accordance with the relevant</w:t>
      </w:r>
      <w:r w:rsidR="0069358D">
        <w:t xml:space="preserve"> </w:t>
      </w:r>
      <w:r>
        <w:t>Government regulations.</w:t>
      </w:r>
    </w:p>
    <w:p w14:paraId="3187A195" w14:textId="44096C5E" w:rsidR="003B49EC" w:rsidRDefault="003B49EC" w:rsidP="003850DB">
      <w:r>
        <w:t>Further</w:t>
      </w:r>
      <w:r w:rsidR="0069358D">
        <w:t xml:space="preserve"> </w:t>
      </w:r>
      <w:r>
        <w:t>information</w:t>
      </w:r>
      <w:r w:rsidR="0069358D">
        <w:t xml:space="preserve"> </w:t>
      </w:r>
      <w:r>
        <w:t>about</w:t>
      </w:r>
      <w:r w:rsidR="0069358D">
        <w:t xml:space="preserve"> </w:t>
      </w:r>
      <w:r>
        <w:t>the</w:t>
      </w:r>
      <w:r w:rsidR="0069358D">
        <w:t xml:space="preserve"> </w:t>
      </w:r>
      <w:r>
        <w:t>Local</w:t>
      </w:r>
      <w:r w:rsidR="0069358D">
        <w:t xml:space="preserve"> </w:t>
      </w:r>
      <w:r>
        <w:t>Government</w:t>
      </w:r>
      <w:r w:rsidR="0069358D">
        <w:t xml:space="preserve"> </w:t>
      </w:r>
      <w:r>
        <w:t>Pension Scheme including the various rules and regulations, membership details, contribution rates and benefits  payable</w:t>
      </w:r>
      <w:r w:rsidR="003850DB">
        <w:t xml:space="preserve"> </w:t>
      </w:r>
      <w:r>
        <w:t>are</w:t>
      </w:r>
      <w:r w:rsidR="003850DB">
        <w:t xml:space="preserve"> </w:t>
      </w:r>
      <w:r>
        <w:t>available</w:t>
      </w:r>
      <w:r w:rsidR="003850DB">
        <w:t xml:space="preserve"> </w:t>
      </w:r>
      <w:r>
        <w:t>from</w:t>
      </w:r>
      <w:r w:rsidR="003850DB">
        <w:t xml:space="preserve"> </w:t>
      </w:r>
      <w:r>
        <w:t>the</w:t>
      </w:r>
      <w:r w:rsidR="003850DB">
        <w:t xml:space="preserve"> </w:t>
      </w:r>
      <w:r>
        <w:t>Pensions</w:t>
      </w:r>
      <w:r w:rsidR="003850DB">
        <w:t xml:space="preserve"> </w:t>
      </w:r>
      <w:r>
        <w:t>Department at</w:t>
      </w:r>
      <w:r w:rsidR="0069358D">
        <w:t xml:space="preserve"> </w:t>
      </w:r>
      <w:r w:rsidR="003850DB" w:rsidRPr="003850DB">
        <w:t>South Tyneside Council, Town Hall &amp; Civic Offices, Westoe Road, South Shields, Tyne &amp; Wear, NE33 2RL, Tel: 0191 427 7000</w:t>
      </w:r>
      <w:r w:rsidR="003850DB">
        <w:t>.</w:t>
      </w:r>
    </w:p>
    <w:p w14:paraId="5CE96696" w14:textId="4727E8C7" w:rsidR="003B49EC" w:rsidRDefault="003B49EC" w:rsidP="003850DB">
      <w:r>
        <w:t>The Council needs to have in place a Retirement and Pensions Policy, the Local Government Pension Scheme Regulations require each Employing</w:t>
      </w:r>
      <w:r w:rsidR="0069358D">
        <w:t xml:space="preserve"> </w:t>
      </w:r>
      <w:r>
        <w:t>Authority to formulate, publish and keep under review a policy statement in relation to the exercise of a number of discretions which employers can use under the Scheme</w:t>
      </w:r>
      <w:r w:rsidR="003850DB">
        <w:t>. Ashington Town Council has agreed a separate Discretions Policy.</w:t>
      </w:r>
    </w:p>
    <w:p w14:paraId="55D9006C" w14:textId="7B4392EF" w:rsidR="009C635A" w:rsidRPr="009C635A" w:rsidRDefault="009C635A">
      <w:pPr>
        <w:pStyle w:val="Heading1"/>
        <w:numPr>
          <w:ilvl w:val="0"/>
          <w:numId w:val="9"/>
        </w:numPr>
        <w:rPr>
          <w:rFonts w:eastAsia="Times New Roman"/>
          <w:lang w:eastAsia="en-GB"/>
        </w:rPr>
      </w:pPr>
      <w:bookmarkStart w:id="1" w:name="_Toc229653093"/>
      <w:r w:rsidRPr="009C635A">
        <w:rPr>
          <w:rFonts w:eastAsia="Times New Roman"/>
          <w:lang w:eastAsia="en-GB"/>
        </w:rPr>
        <w:t>Purpose</w:t>
      </w:r>
      <w:bookmarkEnd w:id="1"/>
    </w:p>
    <w:p w14:paraId="00F20302" w14:textId="46F3AF0B" w:rsidR="009C635A" w:rsidRPr="009C635A" w:rsidRDefault="009C635A" w:rsidP="0069358D">
      <w:pPr>
        <w:rPr>
          <w:lang w:eastAsia="en-GB"/>
        </w:rPr>
      </w:pPr>
      <w:r w:rsidRPr="009C635A">
        <w:rPr>
          <w:lang w:eastAsia="en-GB"/>
        </w:rPr>
        <w:t xml:space="preserve">The purpose of this </w:t>
      </w:r>
      <w:r w:rsidR="003850DB">
        <w:rPr>
          <w:lang w:eastAsia="en-GB"/>
        </w:rPr>
        <w:t>policy</w:t>
      </w:r>
      <w:r w:rsidRPr="009C635A">
        <w:rPr>
          <w:lang w:eastAsia="en-GB"/>
        </w:rPr>
        <w:t xml:space="preserve"> is to provide guidance on how Ashington Town Council supports employees seeking a transition to retirement by reducing their working hours or responsibilities while accessing their pension benefits under the Local Government Pension Scheme (LGPS).</w:t>
      </w:r>
    </w:p>
    <w:p w14:paraId="5F6A1A0C" w14:textId="646F8B26" w:rsidR="009C635A" w:rsidRPr="009C635A" w:rsidRDefault="009C635A">
      <w:pPr>
        <w:pStyle w:val="Heading1"/>
        <w:numPr>
          <w:ilvl w:val="0"/>
          <w:numId w:val="9"/>
        </w:numPr>
        <w:rPr>
          <w:rFonts w:eastAsia="Times New Roman"/>
          <w:lang w:eastAsia="en-GB"/>
        </w:rPr>
      </w:pPr>
      <w:bookmarkStart w:id="2" w:name="_Toc229653094"/>
      <w:r w:rsidRPr="009C635A">
        <w:rPr>
          <w:rFonts w:eastAsia="Times New Roman"/>
          <w:lang w:eastAsia="en-GB"/>
        </w:rPr>
        <w:lastRenderedPageBreak/>
        <w:t>Scope</w:t>
      </w:r>
      <w:bookmarkEnd w:id="2"/>
    </w:p>
    <w:p w14:paraId="047632A7" w14:textId="77777777" w:rsidR="009C635A" w:rsidRPr="009C635A" w:rsidRDefault="009C635A" w:rsidP="0069358D">
      <w:pPr>
        <w:rPr>
          <w:lang w:eastAsia="en-GB"/>
        </w:rPr>
      </w:pPr>
      <w:r w:rsidRPr="009C635A">
        <w:rPr>
          <w:lang w:eastAsia="en-GB"/>
        </w:rPr>
        <w:t>This policy applies to all Ashington Town Council employees eligible under the LGPS. The Council is committed to balancing employee requests for flexible retirement with operational needs.</w:t>
      </w:r>
    </w:p>
    <w:p w14:paraId="4581EC03" w14:textId="2BDFA21E" w:rsidR="009C635A" w:rsidRPr="009C635A" w:rsidRDefault="009C635A">
      <w:pPr>
        <w:pStyle w:val="Heading1"/>
        <w:numPr>
          <w:ilvl w:val="0"/>
          <w:numId w:val="9"/>
        </w:numPr>
        <w:rPr>
          <w:rFonts w:eastAsia="Times New Roman"/>
          <w:lang w:eastAsia="en-GB"/>
        </w:rPr>
      </w:pPr>
      <w:bookmarkStart w:id="3" w:name="_Toc229653095"/>
      <w:r w:rsidRPr="009C635A">
        <w:rPr>
          <w:rFonts w:eastAsia="Times New Roman"/>
          <w:lang w:eastAsia="en-GB"/>
        </w:rPr>
        <w:t>Policy Statement</w:t>
      </w:r>
      <w:bookmarkEnd w:id="3"/>
    </w:p>
    <w:p w14:paraId="24480389" w14:textId="77777777" w:rsidR="009C635A" w:rsidRPr="009C635A" w:rsidRDefault="009C635A" w:rsidP="0069358D">
      <w:pPr>
        <w:rPr>
          <w:lang w:eastAsia="en-GB"/>
        </w:rPr>
      </w:pPr>
      <w:r w:rsidRPr="009C635A">
        <w:rPr>
          <w:lang w:eastAsia="en-GB"/>
        </w:rPr>
        <w:t>Flexible retirement allows eligible employees to continue contributing in a reduced role while accessing their pension benefits. Ashington Town Council supports flexible retirement only where it aligns with operational objectives and recovers any pension-related costs within two years.</w:t>
      </w:r>
    </w:p>
    <w:p w14:paraId="79BC6D71" w14:textId="2F56D386" w:rsidR="009C635A" w:rsidRPr="009C635A" w:rsidRDefault="009C635A">
      <w:pPr>
        <w:pStyle w:val="Heading1"/>
        <w:numPr>
          <w:ilvl w:val="0"/>
          <w:numId w:val="9"/>
        </w:numPr>
        <w:rPr>
          <w:rFonts w:eastAsia="Times New Roman"/>
          <w:lang w:eastAsia="en-GB"/>
        </w:rPr>
      </w:pPr>
      <w:bookmarkStart w:id="4" w:name="_Toc229653096"/>
      <w:r w:rsidRPr="009C635A">
        <w:rPr>
          <w:rFonts w:eastAsia="Times New Roman"/>
          <w:lang w:eastAsia="en-GB"/>
        </w:rPr>
        <w:t>Eligibility and Application Process</w:t>
      </w:r>
      <w:bookmarkEnd w:id="4"/>
    </w:p>
    <w:p w14:paraId="4CBF7D9D" w14:textId="03E0C230" w:rsidR="009C635A" w:rsidRPr="009C635A" w:rsidRDefault="003850DB" w:rsidP="0069358D">
      <w:pPr>
        <w:pStyle w:val="Heading2"/>
        <w:rPr>
          <w:rFonts w:eastAsia="Times New Roman"/>
          <w:lang w:eastAsia="en-GB"/>
        </w:rPr>
      </w:pPr>
      <w:bookmarkStart w:id="5" w:name="_Toc229653097"/>
      <w:r>
        <w:rPr>
          <w:rFonts w:eastAsia="Times New Roman"/>
          <w:lang w:eastAsia="en-GB"/>
        </w:rPr>
        <w:t>5</w:t>
      </w:r>
      <w:r w:rsidR="009C635A" w:rsidRPr="009C635A">
        <w:rPr>
          <w:rFonts w:eastAsia="Times New Roman"/>
          <w:lang w:eastAsia="en-GB"/>
        </w:rPr>
        <w:t>.1 Eligibility Criteria</w:t>
      </w:r>
      <w:bookmarkEnd w:id="5"/>
    </w:p>
    <w:p w14:paraId="6942C9B9" w14:textId="77777777" w:rsidR="009C635A" w:rsidRPr="009C635A" w:rsidRDefault="009C635A">
      <w:pPr>
        <w:pStyle w:val="ListParagraph"/>
        <w:numPr>
          <w:ilvl w:val="0"/>
          <w:numId w:val="1"/>
        </w:numPr>
        <w:rPr>
          <w:lang w:eastAsia="en-GB"/>
        </w:rPr>
      </w:pPr>
      <w:r w:rsidRPr="009C635A">
        <w:rPr>
          <w:lang w:eastAsia="en-GB"/>
        </w:rPr>
        <w:t>Employees must be at least 55 years old.</w:t>
      </w:r>
    </w:p>
    <w:p w14:paraId="4241A84E" w14:textId="77777777" w:rsidR="009C635A" w:rsidRPr="009C635A" w:rsidRDefault="009C635A">
      <w:pPr>
        <w:pStyle w:val="ListParagraph"/>
        <w:numPr>
          <w:ilvl w:val="0"/>
          <w:numId w:val="1"/>
        </w:numPr>
        <w:rPr>
          <w:lang w:eastAsia="en-GB"/>
        </w:rPr>
      </w:pPr>
      <w:r w:rsidRPr="009C635A">
        <w:rPr>
          <w:lang w:eastAsia="en-GB"/>
        </w:rPr>
        <w:t>Employees must hold at least two years of LGPS membership.</w:t>
      </w:r>
    </w:p>
    <w:p w14:paraId="6BE299F7" w14:textId="77777777" w:rsidR="009C635A" w:rsidRPr="009C635A" w:rsidRDefault="009C635A">
      <w:pPr>
        <w:pStyle w:val="ListParagraph"/>
        <w:numPr>
          <w:ilvl w:val="0"/>
          <w:numId w:val="1"/>
        </w:numPr>
        <w:rPr>
          <w:lang w:eastAsia="en-GB"/>
        </w:rPr>
      </w:pPr>
      <w:r w:rsidRPr="009C635A">
        <w:rPr>
          <w:lang w:eastAsia="en-GB"/>
        </w:rPr>
        <w:t>The employee’s combined pension and salary must not exceed their pre-retirement earnings.</w:t>
      </w:r>
    </w:p>
    <w:p w14:paraId="6F398C91" w14:textId="1E2D8618" w:rsidR="009C635A" w:rsidRPr="009C635A" w:rsidRDefault="003850DB" w:rsidP="0069358D">
      <w:pPr>
        <w:pStyle w:val="Heading2"/>
        <w:rPr>
          <w:rFonts w:eastAsia="Times New Roman"/>
          <w:lang w:eastAsia="en-GB"/>
        </w:rPr>
      </w:pPr>
      <w:bookmarkStart w:id="6" w:name="_Toc229653098"/>
      <w:r>
        <w:rPr>
          <w:rFonts w:eastAsia="Times New Roman"/>
          <w:lang w:eastAsia="en-GB"/>
        </w:rPr>
        <w:t>5</w:t>
      </w:r>
      <w:r w:rsidR="009C635A" w:rsidRPr="009C635A">
        <w:rPr>
          <w:rFonts w:eastAsia="Times New Roman"/>
          <w:lang w:eastAsia="en-GB"/>
        </w:rPr>
        <w:t>.2 Application Steps</w:t>
      </w:r>
      <w:bookmarkEnd w:id="6"/>
    </w:p>
    <w:p w14:paraId="0DD28FFD" w14:textId="497C34B0" w:rsidR="009C635A" w:rsidRPr="009C635A" w:rsidRDefault="009C635A">
      <w:pPr>
        <w:pStyle w:val="ListParagraph"/>
        <w:numPr>
          <w:ilvl w:val="0"/>
          <w:numId w:val="2"/>
        </w:numPr>
        <w:rPr>
          <w:lang w:eastAsia="en-GB"/>
        </w:rPr>
      </w:pPr>
      <w:r w:rsidRPr="009C635A">
        <w:rPr>
          <w:b/>
          <w:bCs/>
          <w:lang w:eastAsia="en-GB"/>
        </w:rPr>
        <w:t>Request Submission</w:t>
      </w:r>
      <w:r w:rsidRPr="009C635A">
        <w:rPr>
          <w:lang w:eastAsia="en-GB"/>
        </w:rPr>
        <w:t>: Eligible employees submit a written request to the</w:t>
      </w:r>
      <w:r>
        <w:rPr>
          <w:lang w:eastAsia="en-GB"/>
        </w:rPr>
        <w:t xml:space="preserve"> Executive Officer</w:t>
      </w:r>
      <w:r w:rsidRPr="009C635A">
        <w:rPr>
          <w:lang w:eastAsia="en-GB"/>
        </w:rPr>
        <w:t>, specifying their desired reduction in hours or responsibilities.</w:t>
      </w:r>
    </w:p>
    <w:p w14:paraId="61EA9362" w14:textId="2B5CFF67" w:rsidR="009C635A" w:rsidRPr="009C635A" w:rsidRDefault="009C635A">
      <w:pPr>
        <w:pStyle w:val="ListParagraph"/>
        <w:numPr>
          <w:ilvl w:val="0"/>
          <w:numId w:val="2"/>
        </w:numPr>
        <w:rPr>
          <w:lang w:eastAsia="en-GB"/>
        </w:rPr>
      </w:pPr>
      <w:r w:rsidRPr="009C635A">
        <w:rPr>
          <w:b/>
          <w:bCs/>
          <w:lang w:eastAsia="en-GB"/>
        </w:rPr>
        <w:t>Formal Acknowledgment</w:t>
      </w:r>
      <w:r w:rsidRPr="009C635A">
        <w:rPr>
          <w:lang w:eastAsia="en-GB"/>
        </w:rPr>
        <w:t xml:space="preserve">: </w:t>
      </w:r>
      <w:r>
        <w:rPr>
          <w:lang w:eastAsia="en-GB"/>
        </w:rPr>
        <w:t>The Executive Officer</w:t>
      </w:r>
      <w:r w:rsidRPr="009C635A">
        <w:rPr>
          <w:lang w:eastAsia="en-GB"/>
        </w:rPr>
        <w:t xml:space="preserve"> acknowledges the request in writing, confirming receipt and outlining the next steps.</w:t>
      </w:r>
    </w:p>
    <w:p w14:paraId="7F24F276" w14:textId="5522AC51" w:rsidR="009C635A" w:rsidRPr="009C635A" w:rsidRDefault="009C635A">
      <w:pPr>
        <w:pStyle w:val="ListParagraph"/>
        <w:numPr>
          <w:ilvl w:val="0"/>
          <w:numId w:val="2"/>
        </w:numPr>
        <w:rPr>
          <w:lang w:eastAsia="en-GB"/>
        </w:rPr>
      </w:pPr>
      <w:r w:rsidRPr="009C635A">
        <w:rPr>
          <w:b/>
          <w:bCs/>
          <w:lang w:eastAsia="en-GB"/>
        </w:rPr>
        <w:t>Feasibility Assessment</w:t>
      </w:r>
      <w:r w:rsidRPr="009C635A">
        <w:rPr>
          <w:lang w:eastAsia="en-GB"/>
        </w:rPr>
        <w:t xml:space="preserve">: </w:t>
      </w:r>
      <w:r>
        <w:rPr>
          <w:lang w:eastAsia="en-GB"/>
        </w:rPr>
        <w:t>The Executive Officer (and Line Manager)</w:t>
      </w:r>
      <w:r w:rsidRPr="009C635A">
        <w:rPr>
          <w:lang w:eastAsia="en-GB"/>
        </w:rPr>
        <w:t xml:space="preserve"> assess operational impact, workload distribution, and succession planning.</w:t>
      </w:r>
    </w:p>
    <w:p w14:paraId="47768D3B" w14:textId="77777777" w:rsidR="009C635A" w:rsidRPr="009C635A" w:rsidRDefault="009C635A">
      <w:pPr>
        <w:pStyle w:val="ListParagraph"/>
        <w:numPr>
          <w:ilvl w:val="0"/>
          <w:numId w:val="2"/>
        </w:numPr>
        <w:rPr>
          <w:lang w:eastAsia="en-GB"/>
        </w:rPr>
      </w:pPr>
      <w:r w:rsidRPr="009C635A">
        <w:rPr>
          <w:b/>
          <w:bCs/>
          <w:lang w:eastAsia="en-GB"/>
        </w:rPr>
        <w:t>Review by Personnel Committee</w:t>
      </w:r>
      <w:r w:rsidRPr="009C635A">
        <w:rPr>
          <w:lang w:eastAsia="en-GB"/>
        </w:rPr>
        <w:t>: Each case is evaluated by the Personnel Committee, which considers the operational benefit, potential cost recovery, and other relevant factors.</w:t>
      </w:r>
    </w:p>
    <w:p w14:paraId="2A14EDB9" w14:textId="27C82A3A" w:rsidR="009C635A" w:rsidRPr="009C635A" w:rsidRDefault="003850DB" w:rsidP="0069358D">
      <w:pPr>
        <w:pStyle w:val="Heading2"/>
        <w:rPr>
          <w:rFonts w:eastAsia="Times New Roman"/>
          <w:lang w:eastAsia="en-GB"/>
        </w:rPr>
      </w:pPr>
      <w:bookmarkStart w:id="7" w:name="_Toc229653099"/>
      <w:r>
        <w:rPr>
          <w:rFonts w:eastAsia="Times New Roman"/>
          <w:lang w:eastAsia="en-GB"/>
        </w:rPr>
        <w:t>5</w:t>
      </w:r>
      <w:r w:rsidR="009C635A" w:rsidRPr="009C635A">
        <w:rPr>
          <w:rFonts w:eastAsia="Times New Roman"/>
          <w:lang w:eastAsia="en-GB"/>
        </w:rPr>
        <w:t>.3 Decision and Notification</w:t>
      </w:r>
      <w:bookmarkEnd w:id="7"/>
    </w:p>
    <w:p w14:paraId="7FF08B26" w14:textId="59023CA3" w:rsidR="009C635A" w:rsidRPr="009C635A" w:rsidRDefault="009C635A">
      <w:pPr>
        <w:pStyle w:val="ListParagraph"/>
        <w:numPr>
          <w:ilvl w:val="0"/>
          <w:numId w:val="3"/>
        </w:numPr>
        <w:rPr>
          <w:lang w:eastAsia="en-GB"/>
        </w:rPr>
      </w:pPr>
      <w:r w:rsidRPr="009C635A">
        <w:rPr>
          <w:b/>
          <w:bCs/>
          <w:lang w:eastAsia="en-GB"/>
        </w:rPr>
        <w:t>Approval</w:t>
      </w:r>
      <w:r w:rsidRPr="009C635A">
        <w:rPr>
          <w:lang w:eastAsia="en-GB"/>
        </w:rPr>
        <w:t xml:space="preserve">: If approved, </w:t>
      </w:r>
      <w:r>
        <w:rPr>
          <w:lang w:eastAsia="en-GB"/>
        </w:rPr>
        <w:t>the Executive Officer</w:t>
      </w:r>
      <w:r w:rsidRPr="009C635A">
        <w:rPr>
          <w:lang w:eastAsia="en-GB"/>
        </w:rPr>
        <w:t xml:space="preserve"> will inform the employee and initiate contractual adjustments</w:t>
      </w:r>
      <w:r w:rsidR="00DE5AE9">
        <w:rPr>
          <w:lang w:eastAsia="en-GB"/>
        </w:rPr>
        <w:t xml:space="preserve"> (new job description, hours and salary)</w:t>
      </w:r>
      <w:r w:rsidRPr="009C635A">
        <w:rPr>
          <w:lang w:eastAsia="en-GB"/>
        </w:rPr>
        <w:t>.</w:t>
      </w:r>
    </w:p>
    <w:p w14:paraId="4A1732CE" w14:textId="23412479" w:rsidR="009C635A" w:rsidRPr="009C635A" w:rsidRDefault="009C635A">
      <w:pPr>
        <w:pStyle w:val="ListParagraph"/>
        <w:numPr>
          <w:ilvl w:val="0"/>
          <w:numId w:val="3"/>
        </w:numPr>
        <w:rPr>
          <w:lang w:eastAsia="en-GB"/>
        </w:rPr>
      </w:pPr>
      <w:r w:rsidRPr="009C635A">
        <w:rPr>
          <w:b/>
          <w:bCs/>
          <w:lang w:eastAsia="en-GB"/>
        </w:rPr>
        <w:t>Denial</w:t>
      </w:r>
      <w:r w:rsidRPr="009C635A">
        <w:rPr>
          <w:lang w:eastAsia="en-GB"/>
        </w:rPr>
        <w:t xml:space="preserve">: If the request is denied, </w:t>
      </w:r>
      <w:r>
        <w:rPr>
          <w:lang w:eastAsia="en-GB"/>
        </w:rPr>
        <w:t>the Executive Officer</w:t>
      </w:r>
      <w:r w:rsidRPr="009C635A">
        <w:rPr>
          <w:lang w:eastAsia="en-GB"/>
        </w:rPr>
        <w:t xml:space="preserve"> will provide written feedback, including a rationale and any alternative arrangements.</w:t>
      </w:r>
    </w:p>
    <w:p w14:paraId="33211F9F" w14:textId="0BF8327D" w:rsidR="00DE5AE9" w:rsidRPr="00DE5AE9" w:rsidRDefault="00DE5AE9">
      <w:pPr>
        <w:pStyle w:val="Heading1"/>
        <w:numPr>
          <w:ilvl w:val="0"/>
          <w:numId w:val="9"/>
        </w:numPr>
        <w:rPr>
          <w:rFonts w:eastAsia="Times New Roman"/>
          <w:lang w:eastAsia="en-GB"/>
        </w:rPr>
      </w:pPr>
      <w:bookmarkStart w:id="8" w:name="_Toc229653100"/>
      <w:r w:rsidRPr="00DE5AE9">
        <w:rPr>
          <w:rFonts w:eastAsia="Times New Roman"/>
          <w:lang w:eastAsia="en-GB"/>
        </w:rPr>
        <w:t>Flexible Retirement Options and Contract Adjustments</w:t>
      </w:r>
      <w:bookmarkEnd w:id="8"/>
    </w:p>
    <w:p w14:paraId="18C6E0DE" w14:textId="5F0724AB" w:rsidR="00DE5AE9" w:rsidRPr="00DE5AE9" w:rsidRDefault="003850DB" w:rsidP="0069358D">
      <w:pPr>
        <w:pStyle w:val="Heading2"/>
        <w:rPr>
          <w:rFonts w:eastAsia="Times New Roman"/>
          <w:lang w:eastAsia="en-GB"/>
        </w:rPr>
      </w:pPr>
      <w:bookmarkStart w:id="9" w:name="_Toc229653101"/>
      <w:r>
        <w:rPr>
          <w:rFonts w:eastAsia="Times New Roman"/>
          <w:lang w:eastAsia="en-GB"/>
        </w:rPr>
        <w:t>6</w:t>
      </w:r>
      <w:r w:rsidR="00DE5AE9" w:rsidRPr="00DE5AE9">
        <w:rPr>
          <w:rFonts w:eastAsia="Times New Roman"/>
          <w:lang w:eastAsia="en-GB"/>
        </w:rPr>
        <w:t>.1 Reduction Options</w:t>
      </w:r>
      <w:bookmarkEnd w:id="9"/>
    </w:p>
    <w:p w14:paraId="20AD70C7" w14:textId="77777777" w:rsidR="00DE5AE9" w:rsidRPr="00DE5AE9" w:rsidRDefault="00DE5AE9" w:rsidP="0069358D">
      <w:pPr>
        <w:rPr>
          <w:lang w:eastAsia="en-GB"/>
        </w:rPr>
      </w:pPr>
      <w:r w:rsidRPr="00DE5AE9">
        <w:rPr>
          <w:lang w:eastAsia="en-GB"/>
        </w:rPr>
        <w:t>Employees have two options for flexible retirement:</w:t>
      </w:r>
    </w:p>
    <w:p w14:paraId="38CC4AC0" w14:textId="77777777" w:rsidR="00DE5AE9" w:rsidRPr="00DE5AE9" w:rsidRDefault="00DE5AE9">
      <w:pPr>
        <w:pStyle w:val="ListParagraph"/>
        <w:numPr>
          <w:ilvl w:val="0"/>
          <w:numId w:val="4"/>
        </w:numPr>
        <w:rPr>
          <w:lang w:eastAsia="en-GB"/>
        </w:rPr>
      </w:pPr>
      <w:r w:rsidRPr="00DE5AE9">
        <w:rPr>
          <w:b/>
          <w:bCs/>
          <w:lang w:eastAsia="en-GB"/>
        </w:rPr>
        <w:t>Reduction in Hours</w:t>
      </w:r>
      <w:r w:rsidRPr="00DE5AE9">
        <w:rPr>
          <w:lang w:eastAsia="en-GB"/>
        </w:rPr>
        <w:t>: A reduction in weekly hours.</w:t>
      </w:r>
    </w:p>
    <w:p w14:paraId="105C7408" w14:textId="77777777" w:rsidR="00DE5AE9" w:rsidRPr="00DE5AE9" w:rsidRDefault="00DE5AE9">
      <w:pPr>
        <w:pStyle w:val="ListParagraph"/>
        <w:numPr>
          <w:ilvl w:val="0"/>
          <w:numId w:val="4"/>
        </w:numPr>
        <w:rPr>
          <w:lang w:eastAsia="en-GB"/>
        </w:rPr>
      </w:pPr>
      <w:r w:rsidRPr="00DE5AE9">
        <w:rPr>
          <w:b/>
          <w:bCs/>
          <w:lang w:eastAsia="en-GB"/>
        </w:rPr>
        <w:t>Reduction in Grade/Responsibilities</w:t>
      </w:r>
      <w:r w:rsidRPr="00DE5AE9">
        <w:rPr>
          <w:lang w:eastAsia="en-GB"/>
        </w:rPr>
        <w:t>: A move to a lower-grade position, subject to availability and Council needs.</w:t>
      </w:r>
    </w:p>
    <w:p w14:paraId="45DC06EF" w14:textId="358C5A2C" w:rsidR="00DE5AE9" w:rsidRPr="009F6998" w:rsidRDefault="003850DB" w:rsidP="003850DB">
      <w:pPr>
        <w:pStyle w:val="Heading2"/>
        <w:rPr>
          <w:lang w:eastAsia="en-GB"/>
        </w:rPr>
      </w:pPr>
      <w:bookmarkStart w:id="10" w:name="_Toc229653102"/>
      <w:r>
        <w:rPr>
          <w:lang w:eastAsia="en-GB"/>
        </w:rPr>
        <w:lastRenderedPageBreak/>
        <w:t xml:space="preserve">6.2 </w:t>
      </w:r>
      <w:r w:rsidR="00DE5AE9" w:rsidRPr="009F6998">
        <w:rPr>
          <w:lang w:eastAsia="en-GB"/>
        </w:rPr>
        <w:t>Conditions for Reducing Responsibilities</w:t>
      </w:r>
      <w:bookmarkEnd w:id="10"/>
    </w:p>
    <w:p w14:paraId="443ECE08" w14:textId="77777777" w:rsidR="009F6998" w:rsidRDefault="00DE5AE9" w:rsidP="0069358D">
      <w:pPr>
        <w:rPr>
          <w:lang w:eastAsia="en-GB"/>
        </w:rPr>
      </w:pPr>
      <w:r w:rsidRPr="00DE5AE9">
        <w:rPr>
          <w:lang w:eastAsia="en-GB"/>
        </w:rPr>
        <w:t>Employees may apply for a lower-graded post if a suitable vacancy is available. Adjustments will be reflected in a new job description and permanent contract changes. Additional changes require a separate application and further Council consideration.</w:t>
      </w:r>
    </w:p>
    <w:p w14:paraId="7BBA06D8" w14:textId="49E3D3BD" w:rsidR="00DE5AE9" w:rsidRPr="009F6998" w:rsidRDefault="00DE5AE9">
      <w:pPr>
        <w:pStyle w:val="Heading1"/>
        <w:numPr>
          <w:ilvl w:val="0"/>
          <w:numId w:val="9"/>
        </w:numPr>
        <w:rPr>
          <w:rFonts w:eastAsia="Times New Roman"/>
          <w:lang w:eastAsia="en-GB"/>
        </w:rPr>
      </w:pPr>
      <w:bookmarkStart w:id="11" w:name="_Toc229653103"/>
      <w:r w:rsidRPr="00DE5AE9">
        <w:rPr>
          <w:rFonts w:eastAsia="Times New Roman"/>
          <w:lang w:eastAsia="en-GB"/>
        </w:rPr>
        <w:t>Actuarial Reduction Waiver Discretion</w:t>
      </w:r>
      <w:bookmarkEnd w:id="11"/>
    </w:p>
    <w:p w14:paraId="2AA59630" w14:textId="370FF882" w:rsidR="00DE5AE9" w:rsidRPr="00DE5AE9" w:rsidRDefault="003850DB" w:rsidP="0069358D">
      <w:pPr>
        <w:pStyle w:val="Heading2"/>
        <w:rPr>
          <w:rFonts w:eastAsia="Times New Roman"/>
          <w:lang w:eastAsia="en-GB"/>
        </w:rPr>
      </w:pPr>
      <w:bookmarkStart w:id="12" w:name="_Toc229653104"/>
      <w:r>
        <w:rPr>
          <w:rFonts w:eastAsia="Times New Roman"/>
          <w:lang w:eastAsia="en-GB"/>
        </w:rPr>
        <w:t>7</w:t>
      </w:r>
      <w:r w:rsidR="00DE5AE9" w:rsidRPr="00DE5AE9">
        <w:rPr>
          <w:rFonts w:eastAsia="Times New Roman"/>
          <w:lang w:eastAsia="en-GB"/>
        </w:rPr>
        <w:t>.1 Waiving Actuarial Reductions</w:t>
      </w:r>
      <w:bookmarkEnd w:id="12"/>
    </w:p>
    <w:p w14:paraId="2D7F83E2" w14:textId="77777777" w:rsidR="00DE5AE9" w:rsidRPr="00DE5AE9" w:rsidRDefault="00DE5AE9" w:rsidP="0069358D">
      <w:pPr>
        <w:rPr>
          <w:lang w:eastAsia="en-GB"/>
        </w:rPr>
      </w:pPr>
      <w:r w:rsidRPr="00DE5AE9">
        <w:rPr>
          <w:lang w:eastAsia="en-GB"/>
        </w:rPr>
        <w:t>The Council may waive actuarial reductions, in whole or in part, for benefits taken before Normal Pension Age if:</w:t>
      </w:r>
    </w:p>
    <w:p w14:paraId="0FF343C8" w14:textId="77777777" w:rsidR="00DE5AE9" w:rsidRPr="00DE5AE9" w:rsidRDefault="00DE5AE9">
      <w:pPr>
        <w:pStyle w:val="ListParagraph"/>
        <w:numPr>
          <w:ilvl w:val="0"/>
          <w:numId w:val="5"/>
        </w:numPr>
        <w:rPr>
          <w:lang w:eastAsia="en-GB"/>
        </w:rPr>
      </w:pPr>
      <w:r w:rsidRPr="00DE5AE9">
        <w:rPr>
          <w:lang w:eastAsia="en-GB"/>
        </w:rPr>
        <w:t>There is a significant operational benefit.</w:t>
      </w:r>
    </w:p>
    <w:p w14:paraId="027BF87F" w14:textId="77777777" w:rsidR="00DE5AE9" w:rsidRPr="00DE5AE9" w:rsidRDefault="00DE5AE9">
      <w:pPr>
        <w:pStyle w:val="ListParagraph"/>
        <w:numPr>
          <w:ilvl w:val="0"/>
          <w:numId w:val="5"/>
        </w:numPr>
        <w:rPr>
          <w:lang w:eastAsia="en-GB"/>
        </w:rPr>
      </w:pPr>
      <w:r w:rsidRPr="00DE5AE9">
        <w:rPr>
          <w:lang w:eastAsia="en-GB"/>
        </w:rPr>
        <w:t>The cost is financially recoverable within two years.</w:t>
      </w:r>
    </w:p>
    <w:p w14:paraId="4866E9E2" w14:textId="77777777" w:rsidR="009F6998" w:rsidRDefault="00DE5AE9" w:rsidP="0069358D">
      <w:pPr>
        <w:rPr>
          <w:lang w:eastAsia="en-GB"/>
        </w:rPr>
      </w:pPr>
      <w:r w:rsidRPr="00DE5AE9">
        <w:rPr>
          <w:lang w:eastAsia="en-GB"/>
        </w:rPr>
        <w:t>Compassionate grounds justify the waiver, with appropriate evidence of hardship.</w:t>
      </w:r>
    </w:p>
    <w:p w14:paraId="2CD26019" w14:textId="33DD35D5" w:rsidR="00DE5AE9" w:rsidRPr="009F6998" w:rsidRDefault="00DE5AE9">
      <w:pPr>
        <w:pStyle w:val="Heading1"/>
        <w:numPr>
          <w:ilvl w:val="0"/>
          <w:numId w:val="9"/>
        </w:numPr>
        <w:rPr>
          <w:rFonts w:eastAsia="Times New Roman"/>
          <w:lang w:eastAsia="en-GB"/>
        </w:rPr>
      </w:pPr>
      <w:bookmarkStart w:id="13" w:name="_Toc229653105"/>
      <w:r w:rsidRPr="00DE5AE9">
        <w:rPr>
          <w:rFonts w:eastAsia="Times New Roman"/>
          <w:lang w:eastAsia="en-GB"/>
        </w:rPr>
        <w:t>Operational and Succession Planning Considerations</w:t>
      </w:r>
      <w:bookmarkEnd w:id="13"/>
    </w:p>
    <w:p w14:paraId="1DBD757A" w14:textId="4DEC7D49" w:rsidR="00DE5AE9" w:rsidRPr="00DE5AE9" w:rsidRDefault="003850DB" w:rsidP="0069358D">
      <w:pPr>
        <w:pStyle w:val="Heading2"/>
        <w:rPr>
          <w:rFonts w:eastAsia="Times New Roman"/>
          <w:lang w:eastAsia="en-GB"/>
        </w:rPr>
      </w:pPr>
      <w:bookmarkStart w:id="14" w:name="_Toc229653106"/>
      <w:r>
        <w:rPr>
          <w:rFonts w:eastAsia="Times New Roman"/>
          <w:lang w:eastAsia="en-GB"/>
        </w:rPr>
        <w:t>8</w:t>
      </w:r>
      <w:r w:rsidR="00DE5AE9" w:rsidRPr="00DE5AE9">
        <w:rPr>
          <w:rFonts w:eastAsia="Times New Roman"/>
          <w:lang w:eastAsia="en-GB"/>
        </w:rPr>
        <w:t>.1 Operational Review Criteria</w:t>
      </w:r>
      <w:bookmarkEnd w:id="14"/>
    </w:p>
    <w:p w14:paraId="08508D5C" w14:textId="77777777" w:rsidR="00DE5AE9" w:rsidRPr="00DE5AE9" w:rsidRDefault="00DE5AE9" w:rsidP="0069358D">
      <w:pPr>
        <w:rPr>
          <w:lang w:eastAsia="en-GB"/>
        </w:rPr>
      </w:pPr>
      <w:r w:rsidRPr="00DE5AE9">
        <w:rPr>
          <w:lang w:eastAsia="en-GB"/>
        </w:rPr>
        <w:t>Flexible retirement requests are reviewed with the following factors in mind:</w:t>
      </w:r>
    </w:p>
    <w:p w14:paraId="154BB334" w14:textId="77777777" w:rsidR="00DE5AE9" w:rsidRPr="00DE5AE9" w:rsidRDefault="00DE5AE9">
      <w:pPr>
        <w:pStyle w:val="ListParagraph"/>
        <w:numPr>
          <w:ilvl w:val="0"/>
          <w:numId w:val="6"/>
        </w:numPr>
        <w:rPr>
          <w:lang w:eastAsia="en-GB"/>
        </w:rPr>
      </w:pPr>
      <w:r w:rsidRPr="00DE5AE9">
        <w:rPr>
          <w:lang w:eastAsia="en-GB"/>
        </w:rPr>
        <w:t>Service continuity and quality impact.</w:t>
      </w:r>
    </w:p>
    <w:p w14:paraId="14268EE3" w14:textId="05B4D675" w:rsidR="00DE5AE9" w:rsidRPr="00DE5AE9" w:rsidRDefault="00DE5AE9">
      <w:pPr>
        <w:pStyle w:val="ListParagraph"/>
        <w:numPr>
          <w:ilvl w:val="0"/>
          <w:numId w:val="6"/>
        </w:numPr>
        <w:rPr>
          <w:lang w:eastAsia="en-GB"/>
        </w:rPr>
      </w:pPr>
      <w:r w:rsidRPr="00DE5AE9">
        <w:rPr>
          <w:lang w:eastAsia="en-GB"/>
        </w:rPr>
        <w:t>Ability to reorgani</w:t>
      </w:r>
      <w:r w:rsidR="003850DB">
        <w:rPr>
          <w:lang w:eastAsia="en-GB"/>
        </w:rPr>
        <w:t>s</w:t>
      </w:r>
      <w:r w:rsidRPr="00DE5AE9">
        <w:rPr>
          <w:lang w:eastAsia="en-GB"/>
        </w:rPr>
        <w:t>e workload among team members.</w:t>
      </w:r>
    </w:p>
    <w:p w14:paraId="26444866" w14:textId="77777777" w:rsidR="00DE5AE9" w:rsidRPr="00DE5AE9" w:rsidRDefault="00DE5AE9">
      <w:pPr>
        <w:pStyle w:val="ListParagraph"/>
        <w:numPr>
          <w:ilvl w:val="0"/>
          <w:numId w:val="6"/>
        </w:numPr>
        <w:rPr>
          <w:lang w:eastAsia="en-GB"/>
        </w:rPr>
      </w:pPr>
      <w:r w:rsidRPr="00DE5AE9">
        <w:rPr>
          <w:lang w:eastAsia="en-GB"/>
        </w:rPr>
        <w:t>Feasibility of recruiting additional or replacement staff.</w:t>
      </w:r>
    </w:p>
    <w:p w14:paraId="249A31CB" w14:textId="77777777" w:rsidR="00DE5AE9" w:rsidRPr="00DE5AE9" w:rsidRDefault="00DE5AE9">
      <w:pPr>
        <w:pStyle w:val="ListParagraph"/>
        <w:numPr>
          <w:ilvl w:val="0"/>
          <w:numId w:val="6"/>
        </w:numPr>
        <w:rPr>
          <w:lang w:eastAsia="en-GB"/>
        </w:rPr>
      </w:pPr>
      <w:r w:rsidRPr="00DE5AE9">
        <w:rPr>
          <w:lang w:eastAsia="en-GB"/>
        </w:rPr>
        <w:t>Overall service and customer needs.</w:t>
      </w:r>
    </w:p>
    <w:p w14:paraId="4A751030" w14:textId="21A8873B" w:rsidR="00DE5AE9" w:rsidRPr="009F6998" w:rsidRDefault="00DE5AE9">
      <w:pPr>
        <w:pStyle w:val="Heading1"/>
        <w:numPr>
          <w:ilvl w:val="0"/>
          <w:numId w:val="9"/>
        </w:numPr>
      </w:pPr>
      <w:bookmarkStart w:id="15" w:name="_Toc229653107"/>
      <w:r w:rsidRPr="009F6998">
        <w:t>Benefits of Flexible Retirement for Employees and the Council</w:t>
      </w:r>
      <w:bookmarkEnd w:id="15"/>
    </w:p>
    <w:p w14:paraId="07FADA4E" w14:textId="77777777" w:rsidR="00DE5AE9" w:rsidRPr="00DE5AE9" w:rsidRDefault="00DE5AE9" w:rsidP="0069358D">
      <w:pPr>
        <w:rPr>
          <w:lang w:eastAsia="en-GB"/>
        </w:rPr>
      </w:pPr>
      <w:r w:rsidRPr="00DE5AE9">
        <w:rPr>
          <w:lang w:eastAsia="en-GB"/>
        </w:rPr>
        <w:t>Flexible retirement can provide several advantages to both the employee and Ashington Town Council:</w:t>
      </w:r>
    </w:p>
    <w:p w14:paraId="3D95A626" w14:textId="7408B2A3" w:rsidR="00DE5AE9" w:rsidRPr="00DE5AE9" w:rsidRDefault="003850DB" w:rsidP="003850DB">
      <w:pPr>
        <w:pStyle w:val="Heading2"/>
        <w:rPr>
          <w:lang w:eastAsia="en-GB"/>
        </w:rPr>
      </w:pPr>
      <w:bookmarkStart w:id="16" w:name="_Toc229653108"/>
      <w:r>
        <w:rPr>
          <w:lang w:eastAsia="en-GB"/>
        </w:rPr>
        <w:t xml:space="preserve">9.1 </w:t>
      </w:r>
      <w:r w:rsidR="00DE5AE9" w:rsidRPr="00DE5AE9">
        <w:rPr>
          <w:lang w:eastAsia="en-GB"/>
        </w:rPr>
        <w:t>For the Council</w:t>
      </w:r>
      <w:bookmarkEnd w:id="16"/>
    </w:p>
    <w:p w14:paraId="3113C20B" w14:textId="77777777" w:rsidR="00DE5AE9" w:rsidRPr="00DE5AE9" w:rsidRDefault="00DE5AE9">
      <w:pPr>
        <w:pStyle w:val="ListParagraph"/>
        <w:numPr>
          <w:ilvl w:val="0"/>
          <w:numId w:val="7"/>
        </w:numPr>
        <w:rPr>
          <w:lang w:eastAsia="en-GB"/>
        </w:rPr>
      </w:pPr>
      <w:r w:rsidRPr="00DE5AE9">
        <w:rPr>
          <w:lang w:eastAsia="en-GB"/>
        </w:rPr>
        <w:t>Maintain a balanced age profile within the workforce.</w:t>
      </w:r>
    </w:p>
    <w:p w14:paraId="5E07E959" w14:textId="77777777" w:rsidR="00DE5AE9" w:rsidRPr="00DE5AE9" w:rsidRDefault="00DE5AE9">
      <w:pPr>
        <w:pStyle w:val="ListParagraph"/>
        <w:numPr>
          <w:ilvl w:val="0"/>
          <w:numId w:val="7"/>
        </w:numPr>
        <w:rPr>
          <w:lang w:eastAsia="en-GB"/>
        </w:rPr>
      </w:pPr>
      <w:r w:rsidRPr="00DE5AE9">
        <w:rPr>
          <w:lang w:eastAsia="en-GB"/>
        </w:rPr>
        <w:t>Facilitate knowledge transfer, succession planning, and employee retention.</w:t>
      </w:r>
    </w:p>
    <w:p w14:paraId="708FF4DD" w14:textId="619D6048" w:rsidR="00DE5AE9" w:rsidRPr="00DE5AE9" w:rsidRDefault="00DE5AE9">
      <w:pPr>
        <w:pStyle w:val="ListParagraph"/>
        <w:numPr>
          <w:ilvl w:val="0"/>
          <w:numId w:val="7"/>
        </w:numPr>
        <w:rPr>
          <w:lang w:eastAsia="en-GB"/>
        </w:rPr>
      </w:pPr>
      <w:r w:rsidRPr="00DE5AE9">
        <w:rPr>
          <w:lang w:eastAsia="en-GB"/>
        </w:rPr>
        <w:t>Enable an efficient transition while easing potential bottlenecks in promotion or reorgani</w:t>
      </w:r>
      <w:r>
        <w:rPr>
          <w:lang w:eastAsia="en-GB"/>
        </w:rPr>
        <w:t>s</w:t>
      </w:r>
      <w:r w:rsidRPr="00DE5AE9">
        <w:rPr>
          <w:lang w:eastAsia="en-GB"/>
        </w:rPr>
        <w:t>ation.</w:t>
      </w:r>
    </w:p>
    <w:p w14:paraId="5DB1B3F3" w14:textId="408C8439" w:rsidR="00DE5AE9" w:rsidRPr="00DE5AE9" w:rsidRDefault="003850DB" w:rsidP="003850DB">
      <w:pPr>
        <w:pStyle w:val="Heading2"/>
        <w:rPr>
          <w:lang w:eastAsia="en-GB"/>
        </w:rPr>
      </w:pPr>
      <w:bookmarkStart w:id="17" w:name="_Toc229653109"/>
      <w:r>
        <w:rPr>
          <w:lang w:eastAsia="en-GB"/>
        </w:rPr>
        <w:t xml:space="preserve">9.2 </w:t>
      </w:r>
      <w:r w:rsidR="00DE5AE9" w:rsidRPr="00DE5AE9">
        <w:rPr>
          <w:lang w:eastAsia="en-GB"/>
        </w:rPr>
        <w:t>For the Employee</w:t>
      </w:r>
      <w:bookmarkEnd w:id="17"/>
    </w:p>
    <w:p w14:paraId="05516040" w14:textId="77777777" w:rsidR="00DE5AE9" w:rsidRPr="00DE5AE9" w:rsidRDefault="00DE5AE9">
      <w:pPr>
        <w:pStyle w:val="ListParagraph"/>
        <w:numPr>
          <w:ilvl w:val="0"/>
          <w:numId w:val="8"/>
        </w:numPr>
        <w:rPr>
          <w:lang w:eastAsia="en-GB"/>
        </w:rPr>
      </w:pPr>
      <w:r w:rsidRPr="00DE5AE9">
        <w:rPr>
          <w:lang w:eastAsia="en-GB"/>
        </w:rPr>
        <w:t>Allows a gradual shift into retirement, easing stress or burnout.</w:t>
      </w:r>
    </w:p>
    <w:p w14:paraId="1DE62B1A" w14:textId="77777777" w:rsidR="00DE5AE9" w:rsidRPr="00DE5AE9" w:rsidRDefault="00DE5AE9">
      <w:pPr>
        <w:pStyle w:val="ListParagraph"/>
        <w:numPr>
          <w:ilvl w:val="0"/>
          <w:numId w:val="8"/>
        </w:numPr>
        <w:rPr>
          <w:lang w:eastAsia="en-GB"/>
        </w:rPr>
      </w:pPr>
      <w:r w:rsidRPr="00DE5AE9">
        <w:rPr>
          <w:lang w:eastAsia="en-GB"/>
        </w:rPr>
        <w:t>Provides flexibility and maintains engagement with reduced work demands.</w:t>
      </w:r>
    </w:p>
    <w:p w14:paraId="22105299" w14:textId="77777777" w:rsidR="00DE5AE9" w:rsidRPr="00DE5AE9" w:rsidRDefault="00DE5AE9">
      <w:pPr>
        <w:pStyle w:val="ListParagraph"/>
        <w:numPr>
          <w:ilvl w:val="0"/>
          <w:numId w:val="8"/>
        </w:numPr>
        <w:rPr>
          <w:lang w:eastAsia="en-GB"/>
        </w:rPr>
      </w:pPr>
      <w:r w:rsidRPr="00DE5AE9">
        <w:rPr>
          <w:lang w:eastAsia="en-GB"/>
        </w:rPr>
        <w:t>Supports ongoing mental and physical activity as they ease into life after employment.</w:t>
      </w:r>
    </w:p>
    <w:p w14:paraId="673D7C5D" w14:textId="14EDBD16" w:rsidR="00DE5AE9" w:rsidRPr="00DE5AE9" w:rsidRDefault="00DE5AE9">
      <w:pPr>
        <w:pStyle w:val="Heading1"/>
        <w:numPr>
          <w:ilvl w:val="0"/>
          <w:numId w:val="9"/>
        </w:numPr>
        <w:rPr>
          <w:rFonts w:eastAsia="Times New Roman"/>
          <w:lang w:eastAsia="en-GB"/>
        </w:rPr>
      </w:pPr>
      <w:bookmarkStart w:id="18" w:name="_Toc229653110"/>
      <w:r w:rsidRPr="00DE5AE9">
        <w:rPr>
          <w:rFonts w:eastAsia="Times New Roman"/>
          <w:lang w:eastAsia="en-GB"/>
        </w:rPr>
        <w:t>Communication and Documentation</w:t>
      </w:r>
      <w:bookmarkEnd w:id="18"/>
    </w:p>
    <w:p w14:paraId="2585A416" w14:textId="391AF387" w:rsidR="003850DB" w:rsidRDefault="003850DB" w:rsidP="003850DB">
      <w:pPr>
        <w:pStyle w:val="Heading2"/>
        <w:rPr>
          <w:lang w:eastAsia="en-GB"/>
        </w:rPr>
      </w:pPr>
      <w:bookmarkStart w:id="19" w:name="_Toc229653111"/>
      <w:r>
        <w:rPr>
          <w:lang w:eastAsia="en-GB"/>
        </w:rPr>
        <w:t xml:space="preserve">10.1 </w:t>
      </w:r>
      <w:r w:rsidR="00DE5AE9" w:rsidRPr="00DE5AE9">
        <w:rPr>
          <w:lang w:eastAsia="en-GB"/>
        </w:rPr>
        <w:t>Employee Notification</w:t>
      </w:r>
      <w:bookmarkEnd w:id="19"/>
    </w:p>
    <w:p w14:paraId="3CD8F23F" w14:textId="50A00250" w:rsidR="00DE5AE9" w:rsidRPr="00DE5AE9" w:rsidRDefault="00DE5AE9" w:rsidP="0069358D">
      <w:pPr>
        <w:rPr>
          <w:lang w:eastAsia="en-GB"/>
        </w:rPr>
      </w:pPr>
      <w:r w:rsidRPr="00DE5AE9">
        <w:rPr>
          <w:lang w:eastAsia="en-GB"/>
        </w:rPr>
        <w:t>All decisions are communicated clearly, detailing the reasons for approval or denial.</w:t>
      </w:r>
    </w:p>
    <w:p w14:paraId="48EEDB1D" w14:textId="77777777" w:rsidR="003850DB" w:rsidRDefault="00DE5AE9">
      <w:pPr>
        <w:pStyle w:val="Heading2"/>
        <w:numPr>
          <w:ilvl w:val="1"/>
          <w:numId w:val="9"/>
        </w:numPr>
        <w:rPr>
          <w:lang w:eastAsia="en-GB"/>
        </w:rPr>
      </w:pPr>
      <w:bookmarkStart w:id="20" w:name="_Toc229653112"/>
      <w:r w:rsidRPr="003850DB">
        <w:rPr>
          <w:lang w:eastAsia="en-GB"/>
        </w:rPr>
        <w:lastRenderedPageBreak/>
        <w:t>Contractual Documentation</w:t>
      </w:r>
      <w:bookmarkEnd w:id="20"/>
    </w:p>
    <w:p w14:paraId="69D23B64" w14:textId="77E5E0D2" w:rsidR="00DE5AE9" w:rsidRPr="00DE5AE9" w:rsidRDefault="00DE5AE9" w:rsidP="003850DB">
      <w:pPr>
        <w:rPr>
          <w:lang w:eastAsia="en-GB"/>
        </w:rPr>
      </w:pPr>
      <w:r w:rsidRPr="00DE5AE9">
        <w:rPr>
          <w:lang w:eastAsia="en-GB"/>
        </w:rPr>
        <w:t>Approved changes result in a revised job description and a new written statement of particulars reflecting the updated terms.</w:t>
      </w:r>
    </w:p>
    <w:p w14:paraId="413D69BB" w14:textId="4E2B970C" w:rsidR="00DE5AE9" w:rsidRPr="004F67B6" w:rsidRDefault="00DE5AE9">
      <w:pPr>
        <w:pStyle w:val="Heading1"/>
        <w:numPr>
          <w:ilvl w:val="0"/>
          <w:numId w:val="9"/>
        </w:numPr>
      </w:pPr>
      <w:bookmarkStart w:id="21" w:name="_Toc229653113"/>
      <w:r w:rsidRPr="004F67B6">
        <w:t>Appeals Process</w:t>
      </w:r>
      <w:bookmarkEnd w:id="21"/>
    </w:p>
    <w:p w14:paraId="6C0E152E" w14:textId="15BBA2E3" w:rsidR="00DE5AE9" w:rsidRPr="00DE5AE9" w:rsidRDefault="00DE5AE9" w:rsidP="0069358D">
      <w:pPr>
        <w:rPr>
          <w:lang w:eastAsia="en-GB"/>
        </w:rPr>
      </w:pPr>
      <w:r w:rsidRPr="00DE5AE9">
        <w:rPr>
          <w:lang w:eastAsia="en-GB"/>
        </w:rPr>
        <w:t>Employees have the right to appeal if their request is denied</w:t>
      </w:r>
      <w:r w:rsidR="004F67B6">
        <w:rPr>
          <w:lang w:eastAsia="en-GB"/>
        </w:rPr>
        <w:t>.</w:t>
      </w:r>
    </w:p>
    <w:p w14:paraId="5C426E0D" w14:textId="1F0D4DB6" w:rsidR="004F67B6" w:rsidRDefault="004F67B6" w:rsidP="004F67B6">
      <w:pPr>
        <w:pStyle w:val="Heading2"/>
        <w:rPr>
          <w:lang w:eastAsia="en-GB"/>
        </w:rPr>
      </w:pPr>
      <w:bookmarkStart w:id="22" w:name="_Toc229653114"/>
      <w:r>
        <w:rPr>
          <w:lang w:eastAsia="en-GB"/>
        </w:rPr>
        <w:t xml:space="preserve">11.1 </w:t>
      </w:r>
      <w:r w:rsidR="00DE5AE9" w:rsidRPr="00DE5AE9">
        <w:rPr>
          <w:lang w:eastAsia="en-GB"/>
        </w:rPr>
        <w:t>Appeal Submission</w:t>
      </w:r>
      <w:bookmarkEnd w:id="22"/>
    </w:p>
    <w:p w14:paraId="734F7547" w14:textId="3207472E" w:rsidR="00DE5AE9" w:rsidRPr="00DE5AE9" w:rsidRDefault="00DE5AE9" w:rsidP="0069358D">
      <w:pPr>
        <w:rPr>
          <w:lang w:eastAsia="en-GB"/>
        </w:rPr>
      </w:pPr>
      <w:r w:rsidRPr="00DE5AE9">
        <w:rPr>
          <w:lang w:eastAsia="en-GB"/>
        </w:rPr>
        <w:t>Employees may submit an appeal within 14 calendar days, outlining the grounds for reconsideration.</w:t>
      </w:r>
    </w:p>
    <w:p w14:paraId="678F5521" w14:textId="37FE29F7" w:rsidR="004F67B6" w:rsidRDefault="004F67B6" w:rsidP="004F67B6">
      <w:pPr>
        <w:pStyle w:val="Heading2"/>
        <w:rPr>
          <w:lang w:eastAsia="en-GB"/>
        </w:rPr>
      </w:pPr>
      <w:bookmarkStart w:id="23" w:name="_Toc229653115"/>
      <w:r>
        <w:rPr>
          <w:lang w:eastAsia="en-GB"/>
        </w:rPr>
        <w:t xml:space="preserve">11.2 </w:t>
      </w:r>
      <w:r w:rsidR="00DE5AE9" w:rsidRPr="00DE5AE9">
        <w:rPr>
          <w:lang w:eastAsia="en-GB"/>
        </w:rPr>
        <w:t>Appeals Sub-Committee Review</w:t>
      </w:r>
      <w:bookmarkEnd w:id="23"/>
    </w:p>
    <w:p w14:paraId="4A531077" w14:textId="5FC01916" w:rsidR="00DE5AE9" w:rsidRPr="00DE5AE9" w:rsidRDefault="00DE5AE9" w:rsidP="0069358D">
      <w:pPr>
        <w:rPr>
          <w:lang w:eastAsia="en-GB"/>
        </w:rPr>
      </w:pPr>
      <w:r w:rsidRPr="00DE5AE9">
        <w:rPr>
          <w:lang w:eastAsia="en-GB"/>
        </w:rPr>
        <w:t>The Appeals Sub-Committee reviews appeals and provides a final decision.</w:t>
      </w:r>
    </w:p>
    <w:p w14:paraId="6FAB7FD1" w14:textId="7823D610" w:rsidR="00DE5AE9" w:rsidRPr="004F67B6" w:rsidRDefault="00DE5AE9">
      <w:pPr>
        <w:pStyle w:val="Heading1"/>
        <w:numPr>
          <w:ilvl w:val="0"/>
          <w:numId w:val="9"/>
        </w:numPr>
      </w:pPr>
      <w:bookmarkStart w:id="24" w:name="_Toc229653116"/>
      <w:r w:rsidRPr="004F67B6">
        <w:t>Legal and Financial Considerations</w:t>
      </w:r>
      <w:bookmarkEnd w:id="24"/>
    </w:p>
    <w:p w14:paraId="215365EB" w14:textId="6802ACC4" w:rsidR="00DE5AE9" w:rsidRPr="00DE5AE9" w:rsidRDefault="00DE5AE9" w:rsidP="0069358D">
      <w:pPr>
        <w:pStyle w:val="Heading2"/>
      </w:pPr>
      <w:bookmarkStart w:id="25" w:name="_Toc229653117"/>
      <w:r w:rsidRPr="00DE5AE9">
        <w:t>1</w:t>
      </w:r>
      <w:r w:rsidR="004F67B6">
        <w:t>2</w:t>
      </w:r>
      <w:r w:rsidRPr="00DE5AE9">
        <w:t>.1 Non-Discrimination</w:t>
      </w:r>
      <w:bookmarkEnd w:id="25"/>
    </w:p>
    <w:p w14:paraId="1779BEEB" w14:textId="77777777" w:rsidR="00DE5AE9" w:rsidRPr="00DE5AE9" w:rsidRDefault="00DE5AE9" w:rsidP="0069358D">
      <w:pPr>
        <w:rPr>
          <w:lang w:eastAsia="en-GB"/>
        </w:rPr>
      </w:pPr>
      <w:r w:rsidRPr="00DE5AE9">
        <w:rPr>
          <w:lang w:eastAsia="en-GB"/>
        </w:rPr>
        <w:t>The Council adheres to the Equality Act 2010, ensuring non-discriminatory decisions regarding flexible retirement.</w:t>
      </w:r>
    </w:p>
    <w:p w14:paraId="349DE8FB" w14:textId="3845F242" w:rsidR="00DE5AE9" w:rsidRPr="00DE5AE9" w:rsidRDefault="00DE5AE9" w:rsidP="0069358D">
      <w:pPr>
        <w:pStyle w:val="Heading2"/>
        <w:rPr>
          <w:rFonts w:eastAsia="Times New Roman"/>
          <w:lang w:eastAsia="en-GB"/>
        </w:rPr>
      </w:pPr>
      <w:bookmarkStart w:id="26" w:name="_Toc229653118"/>
      <w:r w:rsidRPr="00DE5AE9">
        <w:rPr>
          <w:rFonts w:eastAsia="Times New Roman"/>
          <w:lang w:eastAsia="en-GB"/>
        </w:rPr>
        <w:t>1</w:t>
      </w:r>
      <w:r w:rsidR="004F67B6">
        <w:rPr>
          <w:rFonts w:eastAsia="Times New Roman"/>
          <w:lang w:eastAsia="en-GB"/>
        </w:rPr>
        <w:t>2</w:t>
      </w:r>
      <w:r w:rsidRPr="00DE5AE9">
        <w:rPr>
          <w:rFonts w:eastAsia="Times New Roman"/>
          <w:lang w:eastAsia="en-GB"/>
        </w:rPr>
        <w:t>.2 Financial Implications</w:t>
      </w:r>
      <w:bookmarkEnd w:id="26"/>
    </w:p>
    <w:p w14:paraId="28FFB416" w14:textId="77777777" w:rsidR="00DE5AE9" w:rsidRPr="00DE5AE9" w:rsidRDefault="00DE5AE9" w:rsidP="0069358D">
      <w:pPr>
        <w:rPr>
          <w:lang w:eastAsia="en-GB"/>
        </w:rPr>
      </w:pPr>
      <w:r w:rsidRPr="00DE5AE9">
        <w:rPr>
          <w:lang w:eastAsia="en-GB"/>
        </w:rPr>
        <w:t>Employees are advised to seek independent financial advice regarding the impact of flexible retirement on tax and pension benefits. The Council does not provide financial advice.</w:t>
      </w:r>
    </w:p>
    <w:p w14:paraId="74AC6DBB" w14:textId="338D690A" w:rsidR="00DE5AE9" w:rsidRPr="00DE5AE9" w:rsidRDefault="00DE5AE9" w:rsidP="0069358D">
      <w:pPr>
        <w:pStyle w:val="Heading2"/>
        <w:rPr>
          <w:rFonts w:eastAsia="Times New Roman"/>
          <w:lang w:eastAsia="en-GB"/>
        </w:rPr>
      </w:pPr>
      <w:bookmarkStart w:id="27" w:name="_Toc229653119"/>
      <w:r w:rsidRPr="00DE5AE9">
        <w:rPr>
          <w:rFonts w:eastAsia="Times New Roman"/>
          <w:lang w:eastAsia="en-GB"/>
        </w:rPr>
        <w:t>1</w:t>
      </w:r>
      <w:r w:rsidR="004F67B6">
        <w:rPr>
          <w:rFonts w:eastAsia="Times New Roman"/>
          <w:lang w:eastAsia="en-GB"/>
        </w:rPr>
        <w:t>2</w:t>
      </w:r>
      <w:r w:rsidRPr="00DE5AE9">
        <w:rPr>
          <w:rFonts w:eastAsia="Times New Roman"/>
          <w:lang w:eastAsia="en-GB"/>
        </w:rPr>
        <w:t>.3 Tax and NI Considerations</w:t>
      </w:r>
      <w:bookmarkEnd w:id="27"/>
    </w:p>
    <w:p w14:paraId="15FA928D" w14:textId="77777777" w:rsidR="00DE5AE9" w:rsidRPr="00DE5AE9" w:rsidRDefault="00DE5AE9" w:rsidP="0069358D">
      <w:pPr>
        <w:rPr>
          <w:lang w:eastAsia="en-GB"/>
        </w:rPr>
      </w:pPr>
      <w:r w:rsidRPr="00DE5AE9">
        <w:rPr>
          <w:lang w:eastAsia="en-GB"/>
        </w:rPr>
        <w:t>The Council informs employees about potential tax and National Insurance implications associated with receiving both salary and pension. NI contributions continue if the reduced salary meets the threshold.</w:t>
      </w:r>
    </w:p>
    <w:p w14:paraId="06533AC4" w14:textId="4A89A31B" w:rsidR="009C635A" w:rsidRPr="004F67B6" w:rsidRDefault="009C635A">
      <w:pPr>
        <w:pStyle w:val="Heading1"/>
        <w:numPr>
          <w:ilvl w:val="0"/>
          <w:numId w:val="9"/>
        </w:numPr>
      </w:pPr>
      <w:bookmarkStart w:id="28" w:name="_Toc229653120"/>
      <w:r w:rsidRPr="004F67B6">
        <w:t>Ongoing Support</w:t>
      </w:r>
      <w:bookmarkEnd w:id="28"/>
    </w:p>
    <w:p w14:paraId="1597D7F1" w14:textId="1E0928AF" w:rsidR="00363510" w:rsidRDefault="00363510" w:rsidP="0069358D">
      <w:pPr>
        <w:rPr>
          <w:lang w:eastAsia="en-GB"/>
        </w:rPr>
      </w:pPr>
      <w:r>
        <w:rPr>
          <w:lang w:eastAsia="en-GB"/>
        </w:rPr>
        <w:t>The Executive Officer, in consultation with Line Manager</w:t>
      </w:r>
      <w:r w:rsidR="004F67B6">
        <w:rPr>
          <w:lang w:eastAsia="en-GB"/>
        </w:rPr>
        <w:t>(</w:t>
      </w:r>
      <w:r>
        <w:rPr>
          <w:lang w:eastAsia="en-GB"/>
        </w:rPr>
        <w:t>s</w:t>
      </w:r>
      <w:r w:rsidR="004F67B6">
        <w:rPr>
          <w:lang w:eastAsia="en-GB"/>
        </w:rPr>
        <w:t>)</w:t>
      </w:r>
      <w:r>
        <w:rPr>
          <w:lang w:eastAsia="en-GB"/>
        </w:rPr>
        <w:t xml:space="preserve"> and Personnel Committee</w:t>
      </w:r>
      <w:r w:rsidR="009C635A" w:rsidRPr="009C635A">
        <w:rPr>
          <w:lang w:eastAsia="en-GB"/>
        </w:rPr>
        <w:t xml:space="preserve"> will schedule regular check-ins with employees on flexible retirement to ensure the arrangement remains effective. </w:t>
      </w:r>
    </w:p>
    <w:p w14:paraId="23FCDE55" w14:textId="1F37DF32" w:rsidR="00363510" w:rsidRPr="004F67B6" w:rsidRDefault="00363510">
      <w:pPr>
        <w:pStyle w:val="Heading1"/>
        <w:numPr>
          <w:ilvl w:val="0"/>
          <w:numId w:val="9"/>
        </w:numPr>
      </w:pPr>
      <w:bookmarkStart w:id="29" w:name="_Toc229653121"/>
      <w:r w:rsidRPr="004F67B6">
        <w:t>Monitoring and review of the policy</w:t>
      </w:r>
      <w:bookmarkEnd w:id="29"/>
    </w:p>
    <w:p w14:paraId="3CF14228" w14:textId="305F1FE2" w:rsidR="003C1C29" w:rsidRPr="00363510" w:rsidRDefault="00363510" w:rsidP="0069358D">
      <w:pPr>
        <w:spacing w:after="0"/>
        <w:rPr>
          <w:rFonts w:cs="Arial"/>
          <w:b/>
          <w:bCs/>
          <w:szCs w:val="24"/>
        </w:rPr>
      </w:pPr>
      <w:r w:rsidRPr="000C3A9F">
        <w:rPr>
          <w:rFonts w:cs="Arial"/>
          <w:szCs w:val="24"/>
        </w:rPr>
        <w:t xml:space="preserve">The </w:t>
      </w:r>
      <w:r>
        <w:rPr>
          <w:rFonts w:cs="Arial"/>
          <w:szCs w:val="24"/>
        </w:rPr>
        <w:t>Executive Officer</w:t>
      </w:r>
      <w:r w:rsidRPr="000C3A9F">
        <w:rPr>
          <w:rFonts w:cs="Arial"/>
          <w:szCs w:val="24"/>
        </w:rPr>
        <w:t xml:space="preserve"> shall be responsible for reviewing this policy annually to</w:t>
      </w:r>
      <w:r>
        <w:rPr>
          <w:rFonts w:cs="Arial"/>
          <w:szCs w:val="24"/>
        </w:rPr>
        <w:t xml:space="preserve"> ensure it meets </w:t>
      </w:r>
      <w:r w:rsidRPr="00363510">
        <w:rPr>
          <w:rFonts w:cs="Arial"/>
          <w:szCs w:val="24"/>
        </w:rPr>
        <w:t>current employment and pension regulations.</w:t>
      </w:r>
    </w:p>
    <w:sectPr w:rsidR="003C1C29" w:rsidRPr="0036351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D0CED" w14:textId="77777777" w:rsidR="007D6192" w:rsidRDefault="007D6192" w:rsidP="009C635A">
      <w:pPr>
        <w:spacing w:after="0" w:line="240" w:lineRule="auto"/>
      </w:pPr>
      <w:r>
        <w:separator/>
      </w:r>
    </w:p>
  </w:endnote>
  <w:endnote w:type="continuationSeparator" w:id="0">
    <w:p w14:paraId="5E6DD353" w14:textId="77777777" w:rsidR="007D6192" w:rsidRDefault="007D6192" w:rsidP="009C6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862475"/>
      <w:docPartObj>
        <w:docPartGallery w:val="Page Numbers (Bottom of Page)"/>
        <w:docPartUnique/>
      </w:docPartObj>
    </w:sdtPr>
    <w:sdtEndPr>
      <w:rPr>
        <w:color w:val="7F7F7F" w:themeColor="background1" w:themeShade="7F"/>
        <w:spacing w:val="60"/>
      </w:rPr>
    </w:sdtEndPr>
    <w:sdtContent>
      <w:p w14:paraId="00C380C4" w14:textId="1B671257" w:rsidR="00874F08" w:rsidRDefault="00874F0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SJE</w:t>
        </w:r>
      </w:p>
    </w:sdtContent>
  </w:sdt>
  <w:p w14:paraId="00AD75F0" w14:textId="3096AEDA" w:rsidR="006E5715" w:rsidRPr="00874F08" w:rsidRDefault="006E5715" w:rsidP="00874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4629D" w14:textId="77777777" w:rsidR="007D6192" w:rsidRDefault="007D6192" w:rsidP="009C635A">
      <w:pPr>
        <w:spacing w:after="0" w:line="240" w:lineRule="auto"/>
      </w:pPr>
      <w:r>
        <w:separator/>
      </w:r>
    </w:p>
  </w:footnote>
  <w:footnote w:type="continuationSeparator" w:id="0">
    <w:p w14:paraId="0F6B6E11" w14:textId="77777777" w:rsidR="007D6192" w:rsidRDefault="007D6192" w:rsidP="009C6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81EF5" w14:textId="435C1799" w:rsidR="009C635A" w:rsidRPr="009C635A" w:rsidRDefault="009C635A" w:rsidP="009C635A">
    <w:pPr>
      <w:pStyle w:val="Heading1"/>
      <w:rPr>
        <w:rFonts w:eastAsia="Times New Roman"/>
        <w:lang w:eastAsia="en-GB"/>
      </w:rPr>
    </w:pPr>
    <w:r w:rsidRPr="009C635A">
      <w:rPr>
        <w:rFonts w:eastAsia="Times New Roman"/>
        <w:lang w:eastAsia="en-GB"/>
      </w:rPr>
      <w:t>Ashington Town Council</w:t>
    </w:r>
    <w:r w:rsidR="003B49EC">
      <w:rPr>
        <w:rFonts w:eastAsia="Times New Roman"/>
        <w:lang w:eastAsia="en-GB"/>
      </w:rPr>
      <w:t xml:space="preserve"> Pensions and</w:t>
    </w:r>
    <w:r w:rsidRPr="009C635A">
      <w:rPr>
        <w:rFonts w:eastAsia="Times New Roman"/>
        <w:lang w:eastAsia="en-GB"/>
      </w:rPr>
      <w:t xml:space="preserve"> </w:t>
    </w:r>
    <w:r w:rsidR="003850DB">
      <w:rPr>
        <w:rFonts w:eastAsia="Times New Roman"/>
        <w:lang w:eastAsia="en-GB"/>
      </w:rPr>
      <w:t xml:space="preserve">Flexible </w:t>
    </w:r>
    <w:r w:rsidRPr="009C635A">
      <w:rPr>
        <w:rFonts w:eastAsia="Times New Roman"/>
        <w:lang w:eastAsia="en-GB"/>
      </w:rPr>
      <w:t>Retirement</w:t>
    </w:r>
    <w:r w:rsidR="003850DB">
      <w:rPr>
        <w:rFonts w:eastAsia="Times New Roman"/>
        <w:lang w:eastAsia="en-GB"/>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4F4"/>
    <w:multiLevelType w:val="hybridMultilevel"/>
    <w:tmpl w:val="486CEA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34B5C"/>
    <w:multiLevelType w:val="hybridMultilevel"/>
    <w:tmpl w:val="96B29C3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2770C"/>
    <w:multiLevelType w:val="hybridMultilevel"/>
    <w:tmpl w:val="9D1259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3B5848"/>
    <w:multiLevelType w:val="hybridMultilevel"/>
    <w:tmpl w:val="FF7AAE4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C5377E"/>
    <w:multiLevelType w:val="multilevel"/>
    <w:tmpl w:val="1F08BCFA"/>
    <w:lvl w:ilvl="0">
      <w:start w:val="1"/>
      <w:numFmt w:val="decimal"/>
      <w:lvlText w:val="%1."/>
      <w:lvlJc w:val="left"/>
      <w:pPr>
        <w:ind w:left="360" w:hanging="360"/>
      </w:pPr>
      <w:rPr>
        <w:rFonts w:hint="default"/>
        <w:b/>
        <w:bCs/>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6F5DD5"/>
    <w:multiLevelType w:val="hybridMultilevel"/>
    <w:tmpl w:val="E5AA2B5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9971AB"/>
    <w:multiLevelType w:val="hybridMultilevel"/>
    <w:tmpl w:val="D8247C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D732FE"/>
    <w:multiLevelType w:val="hybridMultilevel"/>
    <w:tmpl w:val="14D6C9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5C1B69"/>
    <w:multiLevelType w:val="hybridMultilevel"/>
    <w:tmpl w:val="94E23A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3D67D5"/>
    <w:multiLevelType w:val="multilevel"/>
    <w:tmpl w:val="CCB862D4"/>
    <w:lvl w:ilvl="0">
      <w:start w:val="1"/>
      <w:numFmt w:val="bullet"/>
      <w:lvlText w:val=""/>
      <w:lvlJc w:val="left"/>
      <w:pPr>
        <w:ind w:left="720" w:hanging="360"/>
      </w:pPr>
      <w:rPr>
        <w:rFonts w:ascii="Wingdings" w:hAnsi="Wingding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num w:numId="1" w16cid:durableId="175535201">
    <w:abstractNumId w:val="0"/>
  </w:num>
  <w:num w:numId="2" w16cid:durableId="793864988">
    <w:abstractNumId w:val="9"/>
  </w:num>
  <w:num w:numId="3" w16cid:durableId="1354653897">
    <w:abstractNumId w:val="5"/>
  </w:num>
  <w:num w:numId="4" w16cid:durableId="1325091264">
    <w:abstractNumId w:val="2"/>
  </w:num>
  <w:num w:numId="5" w16cid:durableId="1887637531">
    <w:abstractNumId w:val="1"/>
  </w:num>
  <w:num w:numId="6" w16cid:durableId="367536563">
    <w:abstractNumId w:val="7"/>
  </w:num>
  <w:num w:numId="7" w16cid:durableId="1669164188">
    <w:abstractNumId w:val="8"/>
  </w:num>
  <w:num w:numId="8" w16cid:durableId="9571894">
    <w:abstractNumId w:val="6"/>
  </w:num>
  <w:num w:numId="9" w16cid:durableId="2142337667">
    <w:abstractNumId w:val="4"/>
  </w:num>
  <w:num w:numId="10" w16cid:durableId="253130938">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35A"/>
    <w:rsid w:val="00280D07"/>
    <w:rsid w:val="003603F1"/>
    <w:rsid w:val="00363510"/>
    <w:rsid w:val="003850DB"/>
    <w:rsid w:val="003B49EC"/>
    <w:rsid w:val="003C1C29"/>
    <w:rsid w:val="003E661E"/>
    <w:rsid w:val="003F02D2"/>
    <w:rsid w:val="004E6580"/>
    <w:rsid w:val="004F67B6"/>
    <w:rsid w:val="0069358D"/>
    <w:rsid w:val="006A14DE"/>
    <w:rsid w:val="006C3AB7"/>
    <w:rsid w:val="006E5715"/>
    <w:rsid w:val="00712226"/>
    <w:rsid w:val="007800B8"/>
    <w:rsid w:val="007D6192"/>
    <w:rsid w:val="00874F08"/>
    <w:rsid w:val="008A4C2C"/>
    <w:rsid w:val="00922DCA"/>
    <w:rsid w:val="0099485C"/>
    <w:rsid w:val="009C635A"/>
    <w:rsid w:val="009F6998"/>
    <w:rsid w:val="00A80813"/>
    <w:rsid w:val="00BF1CE4"/>
    <w:rsid w:val="00DE5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DFAB0"/>
  <w15:chartTrackingRefBased/>
  <w15:docId w15:val="{B3445673-3E0D-428E-B008-6617B6DF9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35A"/>
    <w:rPr>
      <w:rFonts w:ascii="Arial" w:hAnsi="Arial"/>
      <w:sz w:val="24"/>
    </w:rPr>
  </w:style>
  <w:style w:type="paragraph" w:styleId="Heading1">
    <w:name w:val="heading 1"/>
    <w:basedOn w:val="Normal"/>
    <w:next w:val="Normal"/>
    <w:link w:val="Heading1Char"/>
    <w:uiPriority w:val="9"/>
    <w:qFormat/>
    <w:rsid w:val="009C635A"/>
    <w:pPr>
      <w:keepNext/>
      <w:keepLines/>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9C635A"/>
    <w:pPr>
      <w:keepNext/>
      <w:keepLines/>
      <w:spacing w:before="160" w:after="80"/>
      <w:outlineLvl w:val="1"/>
    </w:pPr>
    <w:rPr>
      <w:rFonts w:eastAsiaTheme="majorEastAsia" w:cstheme="majorBidi"/>
      <w:b/>
      <w:i/>
      <w:szCs w:val="32"/>
    </w:rPr>
  </w:style>
  <w:style w:type="paragraph" w:styleId="Heading3">
    <w:name w:val="heading 3"/>
    <w:basedOn w:val="Normal"/>
    <w:next w:val="Normal"/>
    <w:link w:val="Heading3Char"/>
    <w:uiPriority w:val="9"/>
    <w:semiHidden/>
    <w:unhideWhenUsed/>
    <w:qFormat/>
    <w:rsid w:val="009C63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63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63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63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3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3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3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35A"/>
    <w:rPr>
      <w:rFonts w:ascii="Arial" w:eastAsiaTheme="majorEastAsia" w:hAnsi="Arial" w:cstheme="majorBidi"/>
      <w:b/>
      <w:sz w:val="24"/>
      <w:szCs w:val="40"/>
    </w:rPr>
  </w:style>
  <w:style w:type="character" w:customStyle="1" w:styleId="Heading2Char">
    <w:name w:val="Heading 2 Char"/>
    <w:basedOn w:val="DefaultParagraphFont"/>
    <w:link w:val="Heading2"/>
    <w:uiPriority w:val="9"/>
    <w:rsid w:val="009C635A"/>
    <w:rPr>
      <w:rFonts w:ascii="Arial" w:eastAsiaTheme="majorEastAsia" w:hAnsi="Arial" w:cstheme="majorBidi"/>
      <w:b/>
      <w:i/>
      <w:sz w:val="24"/>
      <w:szCs w:val="32"/>
    </w:rPr>
  </w:style>
  <w:style w:type="character" w:customStyle="1" w:styleId="Heading3Char">
    <w:name w:val="Heading 3 Char"/>
    <w:basedOn w:val="DefaultParagraphFont"/>
    <w:link w:val="Heading3"/>
    <w:uiPriority w:val="9"/>
    <w:semiHidden/>
    <w:rsid w:val="009C63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63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63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63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3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3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35A"/>
    <w:rPr>
      <w:rFonts w:eastAsiaTheme="majorEastAsia" w:cstheme="majorBidi"/>
      <w:color w:val="272727" w:themeColor="text1" w:themeTint="D8"/>
    </w:rPr>
  </w:style>
  <w:style w:type="paragraph" w:styleId="Title">
    <w:name w:val="Title"/>
    <w:basedOn w:val="Normal"/>
    <w:next w:val="Normal"/>
    <w:link w:val="TitleChar"/>
    <w:uiPriority w:val="10"/>
    <w:qFormat/>
    <w:rsid w:val="009C6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3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35A"/>
    <w:pPr>
      <w:spacing w:before="160"/>
      <w:jc w:val="center"/>
    </w:pPr>
    <w:rPr>
      <w:i/>
      <w:iCs/>
      <w:color w:val="404040" w:themeColor="text1" w:themeTint="BF"/>
    </w:rPr>
  </w:style>
  <w:style w:type="character" w:customStyle="1" w:styleId="QuoteChar">
    <w:name w:val="Quote Char"/>
    <w:basedOn w:val="DefaultParagraphFont"/>
    <w:link w:val="Quote"/>
    <w:uiPriority w:val="29"/>
    <w:rsid w:val="009C635A"/>
    <w:rPr>
      <w:i/>
      <w:iCs/>
      <w:color w:val="404040" w:themeColor="text1" w:themeTint="BF"/>
    </w:rPr>
  </w:style>
  <w:style w:type="paragraph" w:styleId="ListParagraph">
    <w:name w:val="List Paragraph"/>
    <w:basedOn w:val="Normal"/>
    <w:uiPriority w:val="34"/>
    <w:qFormat/>
    <w:rsid w:val="009C635A"/>
    <w:pPr>
      <w:ind w:left="720"/>
      <w:contextualSpacing/>
    </w:pPr>
  </w:style>
  <w:style w:type="character" w:styleId="IntenseEmphasis">
    <w:name w:val="Intense Emphasis"/>
    <w:basedOn w:val="DefaultParagraphFont"/>
    <w:uiPriority w:val="21"/>
    <w:qFormat/>
    <w:rsid w:val="009C635A"/>
    <w:rPr>
      <w:i/>
      <w:iCs/>
      <w:color w:val="2F5496" w:themeColor="accent1" w:themeShade="BF"/>
    </w:rPr>
  </w:style>
  <w:style w:type="paragraph" w:styleId="IntenseQuote">
    <w:name w:val="Intense Quote"/>
    <w:basedOn w:val="Normal"/>
    <w:next w:val="Normal"/>
    <w:link w:val="IntenseQuoteChar"/>
    <w:uiPriority w:val="30"/>
    <w:qFormat/>
    <w:rsid w:val="009C63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635A"/>
    <w:rPr>
      <w:i/>
      <w:iCs/>
      <w:color w:val="2F5496" w:themeColor="accent1" w:themeShade="BF"/>
    </w:rPr>
  </w:style>
  <w:style w:type="character" w:styleId="IntenseReference">
    <w:name w:val="Intense Reference"/>
    <w:basedOn w:val="DefaultParagraphFont"/>
    <w:uiPriority w:val="32"/>
    <w:qFormat/>
    <w:rsid w:val="009C635A"/>
    <w:rPr>
      <w:b/>
      <w:bCs/>
      <w:smallCaps/>
      <w:color w:val="2F5496" w:themeColor="accent1" w:themeShade="BF"/>
      <w:spacing w:val="5"/>
    </w:rPr>
  </w:style>
  <w:style w:type="paragraph" w:styleId="Header">
    <w:name w:val="header"/>
    <w:basedOn w:val="Normal"/>
    <w:link w:val="HeaderChar"/>
    <w:uiPriority w:val="99"/>
    <w:unhideWhenUsed/>
    <w:rsid w:val="009C63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35A"/>
  </w:style>
  <w:style w:type="paragraph" w:styleId="Footer">
    <w:name w:val="footer"/>
    <w:basedOn w:val="Normal"/>
    <w:link w:val="FooterChar"/>
    <w:uiPriority w:val="99"/>
    <w:unhideWhenUsed/>
    <w:rsid w:val="009C6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35A"/>
  </w:style>
  <w:style w:type="paragraph" w:styleId="TOC1">
    <w:name w:val="toc 1"/>
    <w:basedOn w:val="Normal"/>
    <w:next w:val="Normal"/>
    <w:autoRedefine/>
    <w:uiPriority w:val="39"/>
    <w:unhideWhenUsed/>
    <w:rsid w:val="00874F08"/>
    <w:pPr>
      <w:spacing w:after="100"/>
    </w:pPr>
  </w:style>
  <w:style w:type="paragraph" w:styleId="TOC2">
    <w:name w:val="toc 2"/>
    <w:basedOn w:val="Normal"/>
    <w:next w:val="Normal"/>
    <w:autoRedefine/>
    <w:uiPriority w:val="39"/>
    <w:unhideWhenUsed/>
    <w:rsid w:val="00874F08"/>
    <w:pPr>
      <w:spacing w:after="100"/>
      <w:ind w:left="240"/>
    </w:pPr>
  </w:style>
  <w:style w:type="character" w:styleId="Hyperlink">
    <w:name w:val="Hyperlink"/>
    <w:basedOn w:val="DefaultParagraphFont"/>
    <w:uiPriority w:val="99"/>
    <w:unhideWhenUsed/>
    <w:rsid w:val="00874F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855164">
      <w:bodyDiv w:val="1"/>
      <w:marLeft w:val="0"/>
      <w:marRight w:val="0"/>
      <w:marTop w:val="0"/>
      <w:marBottom w:val="0"/>
      <w:divBdr>
        <w:top w:val="none" w:sz="0" w:space="0" w:color="auto"/>
        <w:left w:val="none" w:sz="0" w:space="0" w:color="auto"/>
        <w:bottom w:val="none" w:sz="0" w:space="0" w:color="auto"/>
        <w:right w:val="none" w:sz="0" w:space="0" w:color="auto"/>
      </w:divBdr>
    </w:div>
    <w:div w:id="113236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1493</Words>
  <Characters>9009</Characters>
  <Application>Microsoft Office Word</Application>
  <DocSecurity>0</DocSecurity>
  <Lines>191</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Pension &amp; Flexible Retirement Policy 2026</dc:title>
  <dc:subject>POLICIES</dc:subject>
  <dc:creator>Sarah Eden</dc:creator>
  <cp:keywords/>
  <dc:description/>
  <cp:lastModifiedBy>Sarah Eden</cp:lastModifiedBy>
  <cp:revision>2</cp:revision>
  <cp:lastPrinted>2025-01-09T18:10:00Z</cp:lastPrinted>
  <dcterms:created xsi:type="dcterms:W3CDTF">2026-05-14T11:18:00Z</dcterms:created>
  <dcterms:modified xsi:type="dcterms:W3CDTF">2026-05-14T11:18:00Z</dcterms:modified>
</cp:coreProperties>
</file>